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10D7A7" w14:textId="4671675A" w:rsidR="00AA0879" w:rsidRDefault="00E024D9" w:rsidP="00AA0879">
      <w:pPr>
        <w:jc w:val="center"/>
        <w:rPr>
          <w:rFonts w:ascii="Times" w:hAnsi="Times"/>
          <w:b/>
          <w:bCs/>
          <w:sz w:val="36"/>
          <w:szCs w:val="36"/>
        </w:rPr>
      </w:pPr>
      <w:r w:rsidRPr="00AA0879">
        <w:rPr>
          <w:rFonts w:ascii="Times" w:hAnsi="Times"/>
          <w:b/>
          <w:bCs/>
          <w:sz w:val="36"/>
          <w:szCs w:val="36"/>
        </w:rPr>
        <w:t>Virginia</w:t>
      </w:r>
    </w:p>
    <w:p w14:paraId="0796BCBE" w14:textId="77777777" w:rsidR="00AA0879" w:rsidRPr="00AA0879" w:rsidRDefault="00AA0879" w:rsidP="00AA0879">
      <w:pPr>
        <w:jc w:val="center"/>
        <w:rPr>
          <w:rFonts w:ascii="Times" w:hAnsi="Times"/>
          <w:b/>
          <w:bCs/>
          <w:sz w:val="36"/>
          <w:szCs w:val="36"/>
        </w:rPr>
      </w:pPr>
    </w:p>
    <w:p w14:paraId="22D98303" w14:textId="74E91D49" w:rsidR="00E024D9" w:rsidRPr="00AA0879" w:rsidRDefault="00E024D9" w:rsidP="00AA0879">
      <w:pPr>
        <w:jc w:val="center"/>
        <w:rPr>
          <w:rFonts w:ascii="Times" w:hAnsi="Times"/>
          <w:sz w:val="32"/>
          <w:szCs w:val="32"/>
        </w:rPr>
      </w:pPr>
      <w:r w:rsidRPr="00AA0879">
        <w:rPr>
          <w:rFonts w:ascii="Times" w:hAnsi="Times"/>
          <w:sz w:val="32"/>
          <w:szCs w:val="32"/>
        </w:rPr>
        <w:t>Good Government,</w:t>
      </w:r>
      <w:r w:rsidR="00920BCE">
        <w:rPr>
          <w:rFonts w:ascii="Times" w:hAnsi="Times"/>
          <w:sz w:val="32"/>
          <w:szCs w:val="32"/>
        </w:rPr>
        <w:t xml:space="preserve"> </w:t>
      </w:r>
      <w:r w:rsidR="00920BCE" w:rsidRPr="00AA0879">
        <w:rPr>
          <w:rFonts w:ascii="Times" w:hAnsi="Times"/>
          <w:sz w:val="32"/>
          <w:szCs w:val="32"/>
        </w:rPr>
        <w:t>Communities of Interest,</w:t>
      </w:r>
      <w:r w:rsidRPr="00AA0879">
        <w:rPr>
          <w:rFonts w:ascii="Times" w:hAnsi="Times"/>
          <w:sz w:val="32"/>
          <w:szCs w:val="32"/>
        </w:rPr>
        <w:t xml:space="preserve"> and Proportional Representation</w:t>
      </w:r>
      <w:r w:rsidR="00AA0879" w:rsidRPr="00AA0879">
        <w:rPr>
          <w:rFonts w:ascii="Times" w:hAnsi="Times"/>
          <w:sz w:val="32"/>
          <w:szCs w:val="32"/>
        </w:rPr>
        <w:t xml:space="preserve"> </w:t>
      </w:r>
      <w:r w:rsidRPr="00AA0879">
        <w:rPr>
          <w:rFonts w:ascii="Times" w:hAnsi="Times"/>
          <w:sz w:val="32"/>
          <w:szCs w:val="32"/>
        </w:rPr>
        <w:t>Congressional Plans</w:t>
      </w:r>
    </w:p>
    <w:p w14:paraId="61E8AA4A" w14:textId="35D9BF50" w:rsidR="00E024D9" w:rsidRPr="00E024D9" w:rsidRDefault="00E024D9" w:rsidP="00AA0879">
      <w:pPr>
        <w:jc w:val="center"/>
        <w:rPr>
          <w:rFonts w:ascii="Times" w:hAnsi="Times"/>
        </w:rPr>
      </w:pPr>
    </w:p>
    <w:p w14:paraId="7D8D1F26" w14:textId="1BB36B91" w:rsidR="00E024D9" w:rsidRPr="00E024D9" w:rsidRDefault="00E024D9" w:rsidP="00AA0879">
      <w:pPr>
        <w:jc w:val="center"/>
        <w:rPr>
          <w:rFonts w:ascii="Times" w:hAnsi="Times"/>
        </w:rPr>
      </w:pPr>
      <w:r w:rsidRPr="00E024D9">
        <w:rPr>
          <w:rFonts w:ascii="Times" w:hAnsi="Times"/>
        </w:rPr>
        <w:t>Emma Leeds Armstrong</w:t>
      </w:r>
    </w:p>
    <w:p w14:paraId="4D326A4C" w14:textId="3E98C0F6" w:rsidR="00E024D9" w:rsidRDefault="00E024D9" w:rsidP="00AA0879">
      <w:pPr>
        <w:jc w:val="center"/>
        <w:rPr>
          <w:rFonts w:ascii="Times" w:hAnsi="Times"/>
        </w:rPr>
      </w:pPr>
      <w:r w:rsidRPr="00E024D9">
        <w:rPr>
          <w:rFonts w:ascii="Times" w:hAnsi="Times"/>
        </w:rPr>
        <w:t>Stanford Law School</w:t>
      </w:r>
    </w:p>
    <w:p w14:paraId="052F6C58" w14:textId="41F2310F" w:rsidR="006B240E" w:rsidRDefault="006B240E" w:rsidP="00AA0879">
      <w:pPr>
        <w:jc w:val="center"/>
        <w:rPr>
          <w:rFonts w:ascii="Times" w:hAnsi="Times"/>
        </w:rPr>
      </w:pPr>
      <w:r>
        <w:rPr>
          <w:rFonts w:ascii="Times" w:hAnsi="Times"/>
        </w:rPr>
        <w:t>April 4, 2022</w:t>
      </w:r>
    </w:p>
    <w:p w14:paraId="0350E937" w14:textId="7580A958" w:rsidR="008F414A" w:rsidRDefault="008F414A" w:rsidP="00AA0879">
      <w:pPr>
        <w:jc w:val="center"/>
        <w:rPr>
          <w:rFonts w:ascii="Times" w:hAnsi="Times"/>
        </w:rPr>
      </w:pPr>
    </w:p>
    <w:p w14:paraId="36CA7F29" w14:textId="63ED9C96" w:rsidR="008F414A" w:rsidRDefault="008F414A" w:rsidP="00AA0879">
      <w:pPr>
        <w:jc w:val="center"/>
        <w:rPr>
          <w:rFonts w:ascii="Times" w:hAnsi="Times"/>
        </w:rPr>
      </w:pPr>
      <w:r>
        <w:rPr>
          <w:rFonts w:ascii="Times" w:hAnsi="Times"/>
          <w:noProof/>
        </w:rPr>
        <w:drawing>
          <wp:inline distT="0" distB="0" distL="0" distR="0" wp14:anchorId="6B8DE36C" wp14:editId="7EAAC833">
            <wp:extent cx="4189751" cy="1764978"/>
            <wp:effectExtent l="0" t="0" r="1270" b="635"/>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4202297" cy="1770263"/>
                    </a:xfrm>
                    <a:prstGeom prst="rect">
                      <a:avLst/>
                    </a:prstGeom>
                  </pic:spPr>
                </pic:pic>
              </a:graphicData>
            </a:graphic>
          </wp:inline>
        </w:drawing>
      </w:r>
    </w:p>
    <w:p w14:paraId="2D9D1E01" w14:textId="7693CD15" w:rsidR="008F414A" w:rsidRDefault="008F414A" w:rsidP="00AA0879">
      <w:pPr>
        <w:jc w:val="center"/>
        <w:rPr>
          <w:rFonts w:ascii="Times" w:hAnsi="Times"/>
        </w:rPr>
      </w:pPr>
      <w:r>
        <w:rPr>
          <w:rFonts w:ascii="Times" w:hAnsi="Times"/>
          <w:noProof/>
        </w:rPr>
        <w:drawing>
          <wp:inline distT="0" distB="0" distL="0" distR="0" wp14:anchorId="1F2F988A" wp14:editId="746DECB7">
            <wp:extent cx="3770026" cy="1717456"/>
            <wp:effectExtent l="0" t="0" r="1905"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85393" cy="1724457"/>
                    </a:xfrm>
                    <a:prstGeom prst="rect">
                      <a:avLst/>
                    </a:prstGeom>
                  </pic:spPr>
                </pic:pic>
              </a:graphicData>
            </a:graphic>
          </wp:inline>
        </w:drawing>
      </w:r>
    </w:p>
    <w:p w14:paraId="32E36A62" w14:textId="5974F08A" w:rsidR="00D14DA4" w:rsidRDefault="00D14DA4">
      <w:pPr>
        <w:rPr>
          <w:rFonts w:ascii="Times" w:hAnsi="Times"/>
        </w:rPr>
      </w:pPr>
    </w:p>
    <w:p w14:paraId="5D604732" w14:textId="77777777" w:rsidR="008F414A" w:rsidRDefault="00146F61" w:rsidP="00D51856">
      <w:pPr>
        <w:spacing w:line="480" w:lineRule="auto"/>
        <w:jc w:val="center"/>
        <w:rPr>
          <w:rFonts w:ascii="Times" w:hAnsi="Times"/>
          <w:b/>
          <w:bCs/>
          <w:sz w:val="22"/>
          <w:szCs w:val="22"/>
        </w:rPr>
      </w:pPr>
      <w:r>
        <w:rPr>
          <w:rFonts w:ascii="Times" w:hAnsi="Times"/>
          <w:b/>
          <w:bCs/>
          <w:noProof/>
          <w:sz w:val="22"/>
          <w:szCs w:val="22"/>
        </w:rPr>
        <w:drawing>
          <wp:inline distT="0" distB="0" distL="0" distR="0" wp14:anchorId="62BCC351" wp14:editId="3B39C217">
            <wp:extent cx="4856782" cy="2072953"/>
            <wp:effectExtent l="0" t="0" r="0" b="0"/>
            <wp:docPr id="1" name="Picture 1" descr="Map&#10;&#10;Description automatically genera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a:extLst>
                        <a:ext uri="{C183D7F6-B498-43B3-948B-1728B52AA6E4}">
                          <adec:decorative xmlns:adec="http://schemas.microsoft.com/office/drawing/2017/decorative" val="0"/>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4864215" cy="2076125"/>
                    </a:xfrm>
                    <a:prstGeom prst="rect">
                      <a:avLst/>
                    </a:prstGeom>
                  </pic:spPr>
                </pic:pic>
              </a:graphicData>
            </a:graphic>
          </wp:inline>
        </w:drawing>
      </w:r>
      <w:r>
        <w:rPr>
          <w:rFonts w:ascii="Times" w:hAnsi="Times"/>
          <w:b/>
          <w:bCs/>
          <w:sz w:val="22"/>
          <w:szCs w:val="22"/>
        </w:rPr>
        <w:br w:type="page"/>
      </w:r>
      <w:r w:rsidR="008F414A" w:rsidRPr="008F414A">
        <w:rPr>
          <w:rFonts w:ascii="Times" w:hAnsi="Times"/>
          <w:b/>
          <w:bCs/>
          <w:sz w:val="36"/>
          <w:szCs w:val="36"/>
        </w:rPr>
        <w:lastRenderedPageBreak/>
        <w:t>Table of Contents</w:t>
      </w:r>
    </w:p>
    <w:p w14:paraId="204B6B02" w14:textId="0045D69A" w:rsidR="00EB5AB2" w:rsidRPr="00713E6C" w:rsidRDefault="00EB5AB2" w:rsidP="007E0E5F">
      <w:pPr>
        <w:pStyle w:val="ListParagraph"/>
        <w:numPr>
          <w:ilvl w:val="0"/>
          <w:numId w:val="8"/>
        </w:numPr>
        <w:spacing w:line="360" w:lineRule="auto"/>
        <w:rPr>
          <w:rFonts w:ascii="Times" w:hAnsi="Times"/>
          <w:b/>
          <w:bCs/>
          <w:sz w:val="22"/>
          <w:szCs w:val="22"/>
        </w:rPr>
      </w:pPr>
      <w:r w:rsidRPr="00713E6C">
        <w:rPr>
          <w:rFonts w:ascii="Times" w:hAnsi="Times"/>
          <w:b/>
          <w:bCs/>
          <w:sz w:val="22"/>
          <w:szCs w:val="22"/>
        </w:rPr>
        <w:t>Introduction</w:t>
      </w:r>
    </w:p>
    <w:p w14:paraId="4FAC3478" w14:textId="77777777" w:rsidR="00253865" w:rsidRPr="00713E6C" w:rsidRDefault="00EB5AB2" w:rsidP="007E0E5F">
      <w:pPr>
        <w:pStyle w:val="ListParagraph"/>
        <w:numPr>
          <w:ilvl w:val="1"/>
          <w:numId w:val="8"/>
        </w:numPr>
        <w:spacing w:line="360" w:lineRule="auto"/>
        <w:rPr>
          <w:rFonts w:ascii="Times" w:hAnsi="Times"/>
          <w:sz w:val="22"/>
          <w:szCs w:val="22"/>
        </w:rPr>
      </w:pPr>
      <w:r w:rsidRPr="00713E6C">
        <w:rPr>
          <w:rFonts w:ascii="Times" w:hAnsi="Times"/>
          <w:sz w:val="22"/>
          <w:szCs w:val="22"/>
        </w:rPr>
        <w:t xml:space="preserve">Virginia’s Congressional </w:t>
      </w:r>
      <w:r w:rsidR="00BD5D96" w:rsidRPr="00713E6C">
        <w:rPr>
          <w:rFonts w:ascii="Times" w:hAnsi="Times"/>
          <w:sz w:val="22"/>
          <w:szCs w:val="22"/>
        </w:rPr>
        <w:t>Redistricting Process</w:t>
      </w:r>
    </w:p>
    <w:p w14:paraId="12467936" w14:textId="247F6843" w:rsidR="00EB5AB2" w:rsidRPr="00713E6C" w:rsidRDefault="00253865" w:rsidP="007E0E5F">
      <w:pPr>
        <w:pStyle w:val="ListParagraph"/>
        <w:numPr>
          <w:ilvl w:val="1"/>
          <w:numId w:val="8"/>
        </w:numPr>
        <w:spacing w:line="360" w:lineRule="auto"/>
        <w:rPr>
          <w:rFonts w:ascii="Times" w:hAnsi="Times"/>
          <w:sz w:val="22"/>
          <w:szCs w:val="22"/>
        </w:rPr>
      </w:pPr>
      <w:r w:rsidRPr="00713E6C">
        <w:rPr>
          <w:rFonts w:ascii="Times" w:hAnsi="Times"/>
          <w:sz w:val="22"/>
          <w:szCs w:val="22"/>
        </w:rPr>
        <w:t>Virginia’s Congressional</w:t>
      </w:r>
      <w:r w:rsidR="00920BCE">
        <w:rPr>
          <w:rFonts w:ascii="Times" w:hAnsi="Times"/>
          <w:sz w:val="22"/>
          <w:szCs w:val="22"/>
        </w:rPr>
        <w:t xml:space="preserve"> </w:t>
      </w:r>
      <w:r w:rsidR="00920BCE" w:rsidRPr="00713E6C">
        <w:rPr>
          <w:rFonts w:ascii="Times" w:hAnsi="Times"/>
          <w:sz w:val="22"/>
          <w:szCs w:val="22"/>
        </w:rPr>
        <w:t>2020 Redistricting</w:t>
      </w:r>
      <w:r w:rsidRPr="00713E6C">
        <w:rPr>
          <w:rFonts w:ascii="Times" w:hAnsi="Times"/>
          <w:sz w:val="22"/>
          <w:szCs w:val="22"/>
        </w:rPr>
        <w:t xml:space="preserve"> </w:t>
      </w:r>
      <w:r w:rsidR="00920BCE">
        <w:rPr>
          <w:rFonts w:ascii="Times" w:hAnsi="Times"/>
          <w:sz w:val="22"/>
          <w:szCs w:val="22"/>
        </w:rPr>
        <w:t>Cycle</w:t>
      </w:r>
      <w:r w:rsidR="007D63CF" w:rsidRPr="00713E6C">
        <w:rPr>
          <w:rFonts w:ascii="Times" w:hAnsi="Times"/>
          <w:sz w:val="22"/>
          <w:szCs w:val="22"/>
        </w:rPr>
        <w:t xml:space="preserve"> and Population Changes</w:t>
      </w:r>
    </w:p>
    <w:p w14:paraId="4A2859AA" w14:textId="19425760" w:rsidR="00EB5AB2" w:rsidRPr="00713E6C" w:rsidRDefault="00253865" w:rsidP="007E0E5F">
      <w:pPr>
        <w:pStyle w:val="ListParagraph"/>
        <w:numPr>
          <w:ilvl w:val="1"/>
          <w:numId w:val="8"/>
        </w:numPr>
        <w:spacing w:line="360" w:lineRule="auto"/>
        <w:rPr>
          <w:rFonts w:ascii="Times" w:hAnsi="Times"/>
          <w:sz w:val="22"/>
          <w:szCs w:val="22"/>
        </w:rPr>
      </w:pPr>
      <w:r w:rsidRPr="00713E6C">
        <w:rPr>
          <w:rFonts w:ascii="Times" w:hAnsi="Times"/>
          <w:sz w:val="22"/>
          <w:szCs w:val="22"/>
        </w:rPr>
        <w:t>Federal and State Legal Compliance</w:t>
      </w:r>
    </w:p>
    <w:p w14:paraId="2674F24F" w14:textId="7BAB10B5" w:rsidR="00713E6C" w:rsidRPr="00713E6C" w:rsidRDefault="00EF13C0" w:rsidP="00713E6C">
      <w:pPr>
        <w:pStyle w:val="ListParagraph"/>
        <w:numPr>
          <w:ilvl w:val="2"/>
          <w:numId w:val="8"/>
        </w:numPr>
        <w:spacing w:line="360" w:lineRule="auto"/>
        <w:rPr>
          <w:rFonts w:ascii="Times" w:hAnsi="Times"/>
          <w:sz w:val="22"/>
          <w:szCs w:val="22"/>
        </w:rPr>
      </w:pPr>
      <w:r w:rsidRPr="00713E6C">
        <w:rPr>
          <w:rFonts w:ascii="Times" w:hAnsi="Times"/>
          <w:sz w:val="22"/>
          <w:szCs w:val="22"/>
        </w:rPr>
        <w:t>Equal Representation: Article I §</w:t>
      </w:r>
      <w:r w:rsidR="008C2A95">
        <w:rPr>
          <w:rFonts w:ascii="Times" w:hAnsi="Times"/>
          <w:sz w:val="22"/>
          <w:szCs w:val="22"/>
        </w:rPr>
        <w:t xml:space="preserve"> 2</w:t>
      </w:r>
      <w:r w:rsidRPr="00713E6C">
        <w:rPr>
          <w:rFonts w:ascii="Times" w:hAnsi="Times"/>
          <w:sz w:val="22"/>
          <w:szCs w:val="22"/>
        </w:rPr>
        <w:t xml:space="preserve"> of the United States Constitution</w:t>
      </w:r>
      <w:r w:rsidR="00776715" w:rsidRPr="00713E6C">
        <w:rPr>
          <w:rFonts w:ascii="Times" w:hAnsi="Times"/>
          <w:sz w:val="22"/>
          <w:szCs w:val="22"/>
        </w:rPr>
        <w:t xml:space="preserve"> and</w:t>
      </w:r>
      <w:r w:rsidR="00920BCE">
        <w:rPr>
          <w:rFonts w:ascii="Times" w:hAnsi="Times"/>
          <w:sz w:val="22"/>
          <w:szCs w:val="22"/>
        </w:rPr>
        <w:t xml:space="preserve"> The</w:t>
      </w:r>
      <w:r w:rsidR="00776715" w:rsidRPr="00713E6C">
        <w:rPr>
          <w:rFonts w:ascii="Times" w:hAnsi="Times"/>
          <w:sz w:val="22"/>
          <w:szCs w:val="22"/>
        </w:rPr>
        <w:t xml:space="preserve"> Code of Virginia</w:t>
      </w:r>
    </w:p>
    <w:p w14:paraId="3D3BD384" w14:textId="4BF12B8E" w:rsidR="00713E6C" w:rsidRPr="00713E6C" w:rsidRDefault="00713E6C" w:rsidP="00713E6C">
      <w:pPr>
        <w:pStyle w:val="ListParagraph"/>
        <w:numPr>
          <w:ilvl w:val="2"/>
          <w:numId w:val="8"/>
        </w:numPr>
        <w:spacing w:line="360" w:lineRule="auto"/>
        <w:rPr>
          <w:rFonts w:ascii="Times" w:hAnsi="Times"/>
          <w:sz w:val="22"/>
          <w:szCs w:val="22"/>
        </w:rPr>
      </w:pPr>
      <w:r w:rsidRPr="00713E6C">
        <w:rPr>
          <w:rFonts w:ascii="Times" w:hAnsi="Times"/>
          <w:sz w:val="22"/>
          <w:szCs w:val="22"/>
        </w:rPr>
        <w:t>Equal Protection and Ability-to-Elect Districts: 14</w:t>
      </w:r>
      <w:r w:rsidRPr="00713E6C">
        <w:rPr>
          <w:rFonts w:ascii="Times" w:hAnsi="Times"/>
          <w:sz w:val="22"/>
          <w:szCs w:val="22"/>
          <w:vertAlign w:val="superscript"/>
        </w:rPr>
        <w:t>th</w:t>
      </w:r>
      <w:r w:rsidRPr="00713E6C">
        <w:rPr>
          <w:rFonts w:ascii="Times" w:hAnsi="Times"/>
          <w:sz w:val="22"/>
          <w:szCs w:val="22"/>
        </w:rPr>
        <w:t xml:space="preserve"> Amendment, VRA § 2, and </w:t>
      </w:r>
      <w:r w:rsidR="00920BCE">
        <w:rPr>
          <w:rFonts w:ascii="Times" w:hAnsi="Times"/>
          <w:sz w:val="22"/>
          <w:szCs w:val="22"/>
        </w:rPr>
        <w:t xml:space="preserve">The </w:t>
      </w:r>
      <w:r w:rsidRPr="00713E6C">
        <w:rPr>
          <w:rFonts w:ascii="Times" w:hAnsi="Times"/>
          <w:sz w:val="22"/>
          <w:szCs w:val="22"/>
        </w:rPr>
        <w:t>Code of Virginia § 24.2-304.04</w:t>
      </w:r>
    </w:p>
    <w:p w14:paraId="5ED782B2" w14:textId="59043EF5" w:rsidR="00EF13C0" w:rsidRDefault="005501AE" w:rsidP="00EF13C0">
      <w:pPr>
        <w:pStyle w:val="ListParagraph"/>
        <w:numPr>
          <w:ilvl w:val="2"/>
          <w:numId w:val="8"/>
        </w:numPr>
        <w:spacing w:line="360" w:lineRule="auto"/>
        <w:rPr>
          <w:rFonts w:ascii="Times" w:hAnsi="Times"/>
          <w:sz w:val="22"/>
          <w:szCs w:val="22"/>
        </w:rPr>
      </w:pPr>
      <w:r>
        <w:rPr>
          <w:rFonts w:ascii="Times" w:hAnsi="Times"/>
          <w:sz w:val="22"/>
          <w:szCs w:val="22"/>
        </w:rPr>
        <w:t>Compactness and Contiguity</w:t>
      </w:r>
    </w:p>
    <w:p w14:paraId="12F02F93" w14:textId="221237A1" w:rsidR="00734658" w:rsidRDefault="00734658" w:rsidP="00EF13C0">
      <w:pPr>
        <w:pStyle w:val="ListParagraph"/>
        <w:numPr>
          <w:ilvl w:val="2"/>
          <w:numId w:val="8"/>
        </w:numPr>
        <w:spacing w:line="360" w:lineRule="auto"/>
        <w:rPr>
          <w:rFonts w:ascii="Times" w:hAnsi="Times"/>
          <w:sz w:val="22"/>
          <w:szCs w:val="22"/>
        </w:rPr>
      </w:pPr>
      <w:r>
        <w:rPr>
          <w:rFonts w:ascii="Times" w:hAnsi="Times"/>
          <w:sz w:val="22"/>
          <w:szCs w:val="22"/>
        </w:rPr>
        <w:t>Communities of Interest</w:t>
      </w:r>
    </w:p>
    <w:p w14:paraId="61647612" w14:textId="77777777" w:rsidR="007E0E5F" w:rsidRPr="00713E6C" w:rsidRDefault="00253865" w:rsidP="007E0E5F">
      <w:pPr>
        <w:pStyle w:val="ListParagraph"/>
        <w:numPr>
          <w:ilvl w:val="0"/>
          <w:numId w:val="8"/>
        </w:numPr>
        <w:spacing w:line="360" w:lineRule="auto"/>
        <w:rPr>
          <w:rFonts w:ascii="Times" w:hAnsi="Times"/>
          <w:b/>
          <w:bCs/>
          <w:sz w:val="22"/>
          <w:szCs w:val="22"/>
        </w:rPr>
      </w:pPr>
      <w:r w:rsidRPr="00713E6C">
        <w:rPr>
          <w:rFonts w:ascii="Times" w:hAnsi="Times"/>
          <w:b/>
          <w:bCs/>
          <w:sz w:val="22"/>
          <w:szCs w:val="22"/>
        </w:rPr>
        <w:t xml:space="preserve">Plan 1: </w:t>
      </w:r>
      <w:r w:rsidR="001F0402" w:rsidRPr="00713E6C">
        <w:rPr>
          <w:rFonts w:ascii="Times" w:hAnsi="Times"/>
          <w:b/>
          <w:bCs/>
          <w:sz w:val="22"/>
          <w:szCs w:val="22"/>
        </w:rPr>
        <w:t>Good Governance Map</w:t>
      </w:r>
    </w:p>
    <w:p w14:paraId="6ECDFCDA" w14:textId="47B9DBFF" w:rsidR="006A4CDE" w:rsidRPr="006A4CDE" w:rsidRDefault="0007041A" w:rsidP="006A4CDE">
      <w:pPr>
        <w:pStyle w:val="ListParagraph"/>
        <w:numPr>
          <w:ilvl w:val="1"/>
          <w:numId w:val="8"/>
        </w:numPr>
        <w:spacing w:line="360" w:lineRule="auto"/>
        <w:rPr>
          <w:rFonts w:ascii="Times" w:hAnsi="Times"/>
          <w:b/>
          <w:bCs/>
          <w:sz w:val="22"/>
          <w:szCs w:val="22"/>
        </w:rPr>
      </w:pPr>
      <w:r w:rsidRPr="00713E6C">
        <w:rPr>
          <w:rFonts w:ascii="TimesNewRomanPSMT" w:hAnsi="TimesNewRomanPSMT"/>
          <w:sz w:val="22"/>
          <w:szCs w:val="22"/>
        </w:rPr>
        <w:t>Redistricting Principles</w:t>
      </w:r>
      <w:r w:rsidR="00A8541F">
        <w:rPr>
          <w:rFonts w:ascii="TimesNewRomanPSMT" w:hAnsi="TimesNewRomanPSMT"/>
          <w:sz w:val="22"/>
          <w:szCs w:val="22"/>
        </w:rPr>
        <w:t xml:space="preserve"> and </w:t>
      </w:r>
      <w:r w:rsidRPr="00A8541F">
        <w:rPr>
          <w:rFonts w:ascii="TimesNewRomanPSMT" w:hAnsi="TimesNewRomanPSMT"/>
          <w:sz w:val="22"/>
          <w:szCs w:val="22"/>
        </w:rPr>
        <w:t>Map Summary</w:t>
      </w:r>
    </w:p>
    <w:p w14:paraId="030060B2" w14:textId="77777777" w:rsidR="007E0E5F" w:rsidRPr="00713E6C" w:rsidRDefault="0007041A" w:rsidP="007E0E5F">
      <w:pPr>
        <w:pStyle w:val="ListParagraph"/>
        <w:numPr>
          <w:ilvl w:val="1"/>
          <w:numId w:val="8"/>
        </w:numPr>
        <w:spacing w:line="360" w:lineRule="auto"/>
        <w:rPr>
          <w:rFonts w:ascii="Times" w:hAnsi="Times"/>
          <w:b/>
          <w:bCs/>
          <w:sz w:val="22"/>
          <w:szCs w:val="22"/>
        </w:rPr>
      </w:pPr>
      <w:r w:rsidRPr="00713E6C">
        <w:rPr>
          <w:rFonts w:ascii="TimesNewRomanPSMT" w:hAnsi="TimesNewRomanPSMT"/>
          <w:sz w:val="22"/>
          <w:szCs w:val="22"/>
        </w:rPr>
        <w:t>Map Explanatio</w:t>
      </w:r>
      <w:r w:rsidR="007E0E5F" w:rsidRPr="00713E6C">
        <w:rPr>
          <w:rFonts w:ascii="TimesNewRomanPSMT" w:hAnsi="TimesNewRomanPSMT"/>
          <w:sz w:val="22"/>
          <w:szCs w:val="22"/>
        </w:rPr>
        <w:t>n</w:t>
      </w:r>
    </w:p>
    <w:p w14:paraId="781C6701" w14:textId="736A11D7" w:rsidR="00D51856" w:rsidRPr="00713E6C" w:rsidRDefault="0007041A" w:rsidP="007E0E5F">
      <w:pPr>
        <w:pStyle w:val="ListParagraph"/>
        <w:numPr>
          <w:ilvl w:val="1"/>
          <w:numId w:val="8"/>
        </w:numPr>
        <w:spacing w:line="360" w:lineRule="auto"/>
        <w:rPr>
          <w:rFonts w:ascii="Times" w:hAnsi="Times"/>
          <w:b/>
          <w:bCs/>
          <w:sz w:val="22"/>
          <w:szCs w:val="22"/>
        </w:rPr>
      </w:pPr>
      <w:r w:rsidRPr="00713E6C">
        <w:rPr>
          <w:rFonts w:ascii="TimesNewRomanPSMT" w:hAnsi="TimesNewRomanPSMT"/>
          <w:sz w:val="22"/>
          <w:szCs w:val="22"/>
        </w:rPr>
        <w:t>Tradeoffs</w:t>
      </w:r>
    </w:p>
    <w:p w14:paraId="7B1D01E7" w14:textId="74A881AE" w:rsidR="001F0402" w:rsidRPr="00713E6C" w:rsidRDefault="00253865" w:rsidP="007E0E5F">
      <w:pPr>
        <w:pStyle w:val="ListParagraph"/>
        <w:numPr>
          <w:ilvl w:val="0"/>
          <w:numId w:val="8"/>
        </w:numPr>
        <w:spacing w:line="360" w:lineRule="auto"/>
        <w:rPr>
          <w:rFonts w:ascii="Times" w:hAnsi="Times"/>
          <w:b/>
          <w:bCs/>
          <w:sz w:val="22"/>
          <w:szCs w:val="22"/>
        </w:rPr>
      </w:pPr>
      <w:r w:rsidRPr="00713E6C">
        <w:rPr>
          <w:rFonts w:ascii="Times" w:hAnsi="Times"/>
          <w:b/>
          <w:bCs/>
          <w:sz w:val="22"/>
          <w:szCs w:val="22"/>
        </w:rPr>
        <w:t>Plan 2</w:t>
      </w:r>
      <w:r w:rsidR="001F0402" w:rsidRPr="00713E6C">
        <w:rPr>
          <w:rFonts w:ascii="Times" w:hAnsi="Times"/>
          <w:b/>
          <w:bCs/>
          <w:sz w:val="22"/>
          <w:szCs w:val="22"/>
        </w:rPr>
        <w:t>: Communities of Interest Map</w:t>
      </w:r>
    </w:p>
    <w:p w14:paraId="0DACC9CB" w14:textId="24E591C5" w:rsidR="007E0E5F" w:rsidRPr="006A4CDE" w:rsidRDefault="007E0E5F" w:rsidP="006A4CDE">
      <w:pPr>
        <w:pStyle w:val="ListParagraph"/>
        <w:numPr>
          <w:ilvl w:val="1"/>
          <w:numId w:val="8"/>
        </w:numPr>
        <w:spacing w:line="360" w:lineRule="auto"/>
        <w:rPr>
          <w:rFonts w:ascii="Times" w:hAnsi="Times"/>
          <w:b/>
          <w:bCs/>
          <w:sz w:val="22"/>
          <w:szCs w:val="22"/>
        </w:rPr>
      </w:pPr>
      <w:r w:rsidRPr="00713E6C">
        <w:rPr>
          <w:rFonts w:ascii="TimesNewRomanPSMT" w:hAnsi="TimesNewRomanPSMT"/>
          <w:sz w:val="22"/>
          <w:szCs w:val="22"/>
        </w:rPr>
        <w:t>Redistricting Principles</w:t>
      </w:r>
      <w:r w:rsidR="006A4CDE">
        <w:rPr>
          <w:rFonts w:ascii="TimesNewRomanPSMT" w:hAnsi="TimesNewRomanPSMT"/>
          <w:sz w:val="22"/>
          <w:szCs w:val="22"/>
        </w:rPr>
        <w:t xml:space="preserve"> and </w:t>
      </w:r>
      <w:r w:rsidRPr="006A4CDE">
        <w:rPr>
          <w:rFonts w:ascii="TimesNewRomanPSMT" w:hAnsi="TimesNewRomanPSMT"/>
          <w:sz w:val="22"/>
          <w:szCs w:val="22"/>
        </w:rPr>
        <w:t>Map Summary</w:t>
      </w:r>
    </w:p>
    <w:p w14:paraId="549A2188" w14:textId="17428A56" w:rsidR="007E0E5F" w:rsidRPr="005B4CB5" w:rsidRDefault="007E0E5F" w:rsidP="005B4CB5">
      <w:pPr>
        <w:pStyle w:val="ListParagraph"/>
        <w:numPr>
          <w:ilvl w:val="1"/>
          <w:numId w:val="8"/>
        </w:numPr>
        <w:spacing w:line="360" w:lineRule="auto"/>
        <w:rPr>
          <w:rFonts w:ascii="Times" w:hAnsi="Times"/>
          <w:b/>
          <w:bCs/>
          <w:sz w:val="22"/>
          <w:szCs w:val="22"/>
        </w:rPr>
      </w:pPr>
      <w:r w:rsidRPr="00713E6C">
        <w:rPr>
          <w:rFonts w:ascii="TimesNewRomanPSMT" w:hAnsi="TimesNewRomanPSMT"/>
          <w:sz w:val="22"/>
          <w:szCs w:val="22"/>
        </w:rPr>
        <w:t>Map Explanation</w:t>
      </w:r>
      <w:r w:rsidR="0087598A">
        <w:rPr>
          <w:rFonts w:ascii="TimesNewRomanPSMT" w:hAnsi="TimesNewRomanPSMT"/>
          <w:sz w:val="22"/>
          <w:szCs w:val="22"/>
        </w:rPr>
        <w:t xml:space="preserve">: </w:t>
      </w:r>
      <w:r w:rsidRPr="005B4CB5">
        <w:rPr>
          <w:rFonts w:ascii="TimesNewRomanPSMT" w:hAnsi="TimesNewRomanPSMT"/>
          <w:sz w:val="22"/>
          <w:szCs w:val="22"/>
        </w:rPr>
        <w:t>Communities of Interest</w:t>
      </w:r>
    </w:p>
    <w:p w14:paraId="32580384" w14:textId="4F53C690" w:rsidR="007E0E5F" w:rsidRPr="00713E6C" w:rsidRDefault="007E0E5F" w:rsidP="007E0E5F">
      <w:pPr>
        <w:pStyle w:val="ListParagraph"/>
        <w:numPr>
          <w:ilvl w:val="1"/>
          <w:numId w:val="8"/>
        </w:numPr>
        <w:spacing w:line="360" w:lineRule="auto"/>
        <w:rPr>
          <w:rFonts w:ascii="Times" w:hAnsi="Times"/>
          <w:b/>
          <w:bCs/>
          <w:sz w:val="22"/>
          <w:szCs w:val="22"/>
        </w:rPr>
      </w:pPr>
      <w:r w:rsidRPr="00713E6C">
        <w:rPr>
          <w:rFonts w:ascii="TimesNewRomanPSMT" w:hAnsi="TimesNewRomanPSMT"/>
          <w:sz w:val="22"/>
          <w:szCs w:val="22"/>
        </w:rPr>
        <w:t>Compactness and Political Subdivision Splits</w:t>
      </w:r>
    </w:p>
    <w:p w14:paraId="7F83D4D6" w14:textId="5AF2D980" w:rsidR="00D51856" w:rsidRPr="00713E6C" w:rsidRDefault="007E0E5F" w:rsidP="007E0E5F">
      <w:pPr>
        <w:pStyle w:val="ListParagraph"/>
        <w:numPr>
          <w:ilvl w:val="1"/>
          <w:numId w:val="8"/>
        </w:numPr>
        <w:spacing w:line="360" w:lineRule="auto"/>
        <w:rPr>
          <w:rFonts w:ascii="Times" w:hAnsi="Times"/>
          <w:b/>
          <w:bCs/>
          <w:sz w:val="22"/>
          <w:szCs w:val="22"/>
        </w:rPr>
      </w:pPr>
      <w:r w:rsidRPr="00713E6C">
        <w:rPr>
          <w:rFonts w:ascii="TimesNewRomanPSMT" w:hAnsi="TimesNewRomanPSMT"/>
          <w:sz w:val="22"/>
          <w:szCs w:val="22"/>
        </w:rPr>
        <w:t>Tradeoffs</w:t>
      </w:r>
    </w:p>
    <w:p w14:paraId="317D2F14" w14:textId="7F8913D8" w:rsidR="00253865" w:rsidRPr="00713E6C" w:rsidRDefault="00253865" w:rsidP="007E0E5F">
      <w:pPr>
        <w:pStyle w:val="ListParagraph"/>
        <w:numPr>
          <w:ilvl w:val="0"/>
          <w:numId w:val="8"/>
        </w:numPr>
        <w:spacing w:line="360" w:lineRule="auto"/>
        <w:rPr>
          <w:rFonts w:ascii="Times" w:hAnsi="Times"/>
          <w:b/>
          <w:bCs/>
          <w:sz w:val="22"/>
          <w:szCs w:val="22"/>
        </w:rPr>
      </w:pPr>
      <w:r w:rsidRPr="00713E6C">
        <w:rPr>
          <w:rFonts w:ascii="Times" w:hAnsi="Times"/>
          <w:b/>
          <w:bCs/>
          <w:sz w:val="22"/>
          <w:szCs w:val="22"/>
        </w:rPr>
        <w:t>Plan 3</w:t>
      </w:r>
      <w:r w:rsidR="001F0402" w:rsidRPr="00713E6C">
        <w:rPr>
          <w:rFonts w:ascii="Times" w:hAnsi="Times"/>
          <w:b/>
          <w:bCs/>
          <w:sz w:val="22"/>
          <w:szCs w:val="22"/>
        </w:rPr>
        <w:t>: Political Representation Map</w:t>
      </w:r>
    </w:p>
    <w:p w14:paraId="32F629EF" w14:textId="13E0A405" w:rsidR="007E0E5F" w:rsidRPr="00143BC2" w:rsidRDefault="007E0E5F" w:rsidP="00143BC2">
      <w:pPr>
        <w:pStyle w:val="ListParagraph"/>
        <w:numPr>
          <w:ilvl w:val="1"/>
          <w:numId w:val="8"/>
        </w:numPr>
        <w:spacing w:line="360" w:lineRule="auto"/>
        <w:rPr>
          <w:rFonts w:ascii="Times" w:hAnsi="Times"/>
          <w:b/>
          <w:bCs/>
          <w:sz w:val="22"/>
          <w:szCs w:val="22"/>
        </w:rPr>
      </w:pPr>
      <w:r w:rsidRPr="00713E6C">
        <w:rPr>
          <w:rFonts w:ascii="TimesNewRomanPSMT" w:hAnsi="TimesNewRomanPSMT"/>
          <w:sz w:val="22"/>
          <w:szCs w:val="22"/>
        </w:rPr>
        <w:t>Redistricting Principles</w:t>
      </w:r>
      <w:r w:rsidR="00143BC2">
        <w:rPr>
          <w:rFonts w:ascii="TimesNewRomanPSMT" w:hAnsi="TimesNewRomanPSMT"/>
          <w:sz w:val="22"/>
          <w:szCs w:val="22"/>
        </w:rPr>
        <w:t xml:space="preserve"> and </w:t>
      </w:r>
      <w:r w:rsidRPr="00143BC2">
        <w:rPr>
          <w:rFonts w:ascii="TimesNewRomanPSMT" w:hAnsi="TimesNewRomanPSMT"/>
          <w:sz w:val="22"/>
          <w:szCs w:val="22"/>
        </w:rPr>
        <w:t>Map Summary</w:t>
      </w:r>
    </w:p>
    <w:p w14:paraId="0C28E30E" w14:textId="4107173B" w:rsidR="007E0E5F" w:rsidRPr="00787B7D" w:rsidRDefault="007E0E5F" w:rsidP="00787B7D">
      <w:pPr>
        <w:pStyle w:val="ListParagraph"/>
        <w:numPr>
          <w:ilvl w:val="1"/>
          <w:numId w:val="8"/>
        </w:numPr>
        <w:spacing w:line="360" w:lineRule="auto"/>
        <w:rPr>
          <w:rFonts w:ascii="Times" w:hAnsi="Times"/>
          <w:b/>
          <w:bCs/>
          <w:sz w:val="22"/>
          <w:szCs w:val="22"/>
        </w:rPr>
      </w:pPr>
      <w:r w:rsidRPr="00713E6C">
        <w:rPr>
          <w:rFonts w:ascii="TimesNewRomanPSMT" w:hAnsi="TimesNewRomanPSMT"/>
          <w:sz w:val="22"/>
          <w:szCs w:val="22"/>
        </w:rPr>
        <w:t>Map Explanation</w:t>
      </w:r>
      <w:r w:rsidR="0087598A">
        <w:rPr>
          <w:rFonts w:ascii="TimesNewRomanPSMT" w:hAnsi="TimesNewRomanPSMT"/>
          <w:sz w:val="22"/>
          <w:szCs w:val="22"/>
        </w:rPr>
        <w:t xml:space="preserve">: </w:t>
      </w:r>
      <w:r w:rsidRPr="00787B7D">
        <w:rPr>
          <w:rFonts w:ascii="Times" w:hAnsi="Times"/>
          <w:sz w:val="22"/>
          <w:szCs w:val="22"/>
        </w:rPr>
        <w:t>Partisan Considerations</w:t>
      </w:r>
    </w:p>
    <w:p w14:paraId="321B5CAE" w14:textId="4080116A" w:rsidR="007E0E5F" w:rsidRPr="00713E6C" w:rsidRDefault="007E0E5F" w:rsidP="007E0E5F">
      <w:pPr>
        <w:pStyle w:val="ListParagraph"/>
        <w:numPr>
          <w:ilvl w:val="1"/>
          <w:numId w:val="8"/>
        </w:numPr>
        <w:spacing w:line="360" w:lineRule="auto"/>
        <w:rPr>
          <w:rFonts w:ascii="Times" w:hAnsi="Times"/>
          <w:b/>
          <w:bCs/>
          <w:sz w:val="22"/>
          <w:szCs w:val="22"/>
        </w:rPr>
      </w:pPr>
      <w:r w:rsidRPr="00713E6C">
        <w:rPr>
          <w:rFonts w:ascii="TimesNewRomanPSMT" w:hAnsi="TimesNewRomanPSMT"/>
          <w:sz w:val="22"/>
          <w:szCs w:val="22"/>
        </w:rPr>
        <w:t>Compactness and Political Subdivision Splits</w:t>
      </w:r>
    </w:p>
    <w:p w14:paraId="48CB3A48" w14:textId="22FE33FF" w:rsidR="00D51856" w:rsidRPr="00CA51CE" w:rsidRDefault="007E0E5F" w:rsidP="007E0E5F">
      <w:pPr>
        <w:pStyle w:val="ListParagraph"/>
        <w:numPr>
          <w:ilvl w:val="1"/>
          <w:numId w:val="8"/>
        </w:numPr>
        <w:spacing w:line="360" w:lineRule="auto"/>
        <w:rPr>
          <w:rFonts w:ascii="Times" w:hAnsi="Times"/>
          <w:b/>
          <w:bCs/>
          <w:sz w:val="22"/>
          <w:szCs w:val="22"/>
        </w:rPr>
      </w:pPr>
      <w:r w:rsidRPr="00713E6C">
        <w:rPr>
          <w:rFonts w:ascii="TimesNewRomanPSMT" w:hAnsi="TimesNewRomanPSMT"/>
          <w:sz w:val="22"/>
          <w:szCs w:val="22"/>
        </w:rPr>
        <w:t>Tradeoffs</w:t>
      </w:r>
    </w:p>
    <w:p w14:paraId="0D1D8173" w14:textId="00FC02DD" w:rsidR="00CA51CE" w:rsidRPr="00CA51CE" w:rsidRDefault="00CA51CE" w:rsidP="00CA51CE">
      <w:pPr>
        <w:pStyle w:val="ListParagraph"/>
        <w:numPr>
          <w:ilvl w:val="0"/>
          <w:numId w:val="8"/>
        </w:numPr>
        <w:spacing w:line="360" w:lineRule="auto"/>
        <w:rPr>
          <w:rFonts w:ascii="Times" w:hAnsi="Times"/>
          <w:b/>
          <w:bCs/>
          <w:sz w:val="22"/>
          <w:szCs w:val="22"/>
        </w:rPr>
      </w:pPr>
      <w:r>
        <w:rPr>
          <w:rFonts w:ascii="TimesNewRomanPSMT" w:hAnsi="TimesNewRomanPSMT"/>
          <w:b/>
          <w:bCs/>
          <w:sz w:val="22"/>
          <w:szCs w:val="22"/>
        </w:rPr>
        <w:t>Conclusion</w:t>
      </w:r>
    </w:p>
    <w:p w14:paraId="5F069C2B" w14:textId="4E9D7523" w:rsidR="00CA51CE" w:rsidRPr="00713E6C" w:rsidRDefault="00CA51CE" w:rsidP="00CA51CE">
      <w:pPr>
        <w:pStyle w:val="ListParagraph"/>
        <w:numPr>
          <w:ilvl w:val="0"/>
          <w:numId w:val="8"/>
        </w:numPr>
        <w:spacing w:line="360" w:lineRule="auto"/>
        <w:rPr>
          <w:rFonts w:ascii="Times" w:hAnsi="Times"/>
          <w:b/>
          <w:bCs/>
          <w:sz w:val="22"/>
          <w:szCs w:val="22"/>
        </w:rPr>
      </w:pPr>
      <w:r>
        <w:rPr>
          <w:rFonts w:ascii="TimesNewRomanPSMT" w:hAnsi="TimesNewRomanPSMT"/>
          <w:b/>
          <w:bCs/>
          <w:sz w:val="22"/>
          <w:szCs w:val="22"/>
        </w:rPr>
        <w:t>Appendix</w:t>
      </w:r>
    </w:p>
    <w:p w14:paraId="7EFE23DB" w14:textId="22B54CAE" w:rsidR="008F414A" w:rsidRPr="00EB5AB2" w:rsidRDefault="008F414A" w:rsidP="00D51856">
      <w:pPr>
        <w:spacing w:line="480" w:lineRule="auto"/>
        <w:rPr>
          <w:rFonts w:ascii="Times" w:hAnsi="Times"/>
          <w:b/>
          <w:bCs/>
          <w:sz w:val="22"/>
          <w:szCs w:val="22"/>
        </w:rPr>
      </w:pPr>
      <w:r w:rsidRPr="00EB5AB2">
        <w:rPr>
          <w:rFonts w:ascii="Times" w:hAnsi="Times"/>
          <w:b/>
          <w:bCs/>
          <w:sz w:val="22"/>
          <w:szCs w:val="22"/>
        </w:rPr>
        <w:br w:type="page"/>
      </w:r>
    </w:p>
    <w:p w14:paraId="58914ED3" w14:textId="77777777" w:rsidR="00E024D9" w:rsidRPr="008F414A" w:rsidRDefault="00E024D9">
      <w:pPr>
        <w:rPr>
          <w:rFonts w:ascii="Times" w:hAnsi="Times"/>
          <w:b/>
          <w:bCs/>
          <w:sz w:val="22"/>
          <w:szCs w:val="22"/>
        </w:rPr>
      </w:pPr>
    </w:p>
    <w:p w14:paraId="717E59B9" w14:textId="4E71077F" w:rsidR="00F60314" w:rsidRDefault="00E024D9" w:rsidP="00FD4E9E">
      <w:pPr>
        <w:spacing w:line="480" w:lineRule="auto"/>
        <w:jc w:val="center"/>
        <w:rPr>
          <w:rFonts w:ascii="Times" w:hAnsi="Times"/>
          <w:b/>
          <w:bCs/>
          <w:sz w:val="36"/>
          <w:szCs w:val="36"/>
        </w:rPr>
      </w:pPr>
      <w:r w:rsidRPr="00FD4E9E">
        <w:rPr>
          <w:rFonts w:ascii="Times" w:hAnsi="Times"/>
          <w:b/>
          <w:bCs/>
          <w:sz w:val="36"/>
          <w:szCs w:val="36"/>
        </w:rPr>
        <w:t>Introduction</w:t>
      </w:r>
    </w:p>
    <w:p w14:paraId="553690C5" w14:textId="33770B7D" w:rsidR="00FB0B03" w:rsidRPr="00FB0B03" w:rsidRDefault="00FB0B03" w:rsidP="00FB0B03">
      <w:pPr>
        <w:spacing w:line="480" w:lineRule="auto"/>
        <w:ind w:firstLine="720"/>
        <w:jc w:val="both"/>
        <w:rPr>
          <w:rFonts w:ascii="Times" w:hAnsi="Times"/>
        </w:rPr>
      </w:pPr>
      <w:r>
        <w:rPr>
          <w:rFonts w:ascii="Times" w:hAnsi="Times"/>
        </w:rPr>
        <w:t>This paper presents three alternative plans for the 2020 Virginia redistricting cycle: a communities of interest plan, a good government plan, and a proportional representation plan. The first plan is a good government map. That plan strictly adheres to constitutional and statutory requirements while attempting to draw compact, coherent districts and minimizing county, city, and, to a lesser extent, communities of interest splits.</w:t>
      </w:r>
      <w:r w:rsidRPr="000677F8">
        <w:rPr>
          <w:rFonts w:ascii="Times" w:hAnsi="Times"/>
        </w:rPr>
        <w:t xml:space="preserve"> </w:t>
      </w:r>
      <w:r>
        <w:rPr>
          <w:rFonts w:ascii="Times" w:hAnsi="Times"/>
        </w:rPr>
        <w:t>The second plan is a communities of interest plan. This plan aims to maximize the number of intact communities of interest within one congressional district. The third plan is motivated by proportional representation and aims to best reflect the underlying partisan division in Virginia.</w:t>
      </w:r>
    </w:p>
    <w:p w14:paraId="613980AE" w14:textId="6459DD49" w:rsidR="00FD4E9E" w:rsidRDefault="00FB0B03" w:rsidP="00FD4E9E">
      <w:pPr>
        <w:spacing w:line="480" w:lineRule="auto"/>
        <w:rPr>
          <w:rFonts w:ascii="Times" w:hAnsi="Times"/>
          <w:b/>
          <w:bCs/>
          <w:sz w:val="32"/>
          <w:szCs w:val="32"/>
        </w:rPr>
      </w:pPr>
      <w:r>
        <w:rPr>
          <w:rFonts w:ascii="Times" w:hAnsi="Times"/>
          <w:b/>
          <w:bCs/>
          <w:sz w:val="32"/>
          <w:szCs w:val="32"/>
        </w:rPr>
        <w:t>Virginia’s Congressional Redistricting Process</w:t>
      </w:r>
    </w:p>
    <w:p w14:paraId="722FB332" w14:textId="61215EC6" w:rsidR="00B22D57" w:rsidRDefault="0087094A" w:rsidP="00456834">
      <w:pPr>
        <w:spacing w:line="480" w:lineRule="auto"/>
        <w:rPr>
          <w:rFonts w:ascii="Times" w:hAnsi="Times"/>
          <w:i/>
          <w:iCs/>
        </w:rPr>
      </w:pPr>
      <w:r>
        <w:rPr>
          <w:rFonts w:ascii="Times" w:hAnsi="Times"/>
          <w:b/>
          <w:bCs/>
          <w:sz w:val="32"/>
          <w:szCs w:val="32"/>
        </w:rPr>
        <w:tab/>
      </w:r>
      <w:r>
        <w:rPr>
          <w:rFonts w:ascii="Times" w:hAnsi="Times"/>
        </w:rPr>
        <w:t xml:space="preserve">Historically, Virginia’s congressional maps were drawn by the State Legislature. In 2010, new </w:t>
      </w:r>
      <w:r w:rsidR="00DE5D57">
        <w:rPr>
          <w:rFonts w:ascii="Times" w:hAnsi="Times"/>
        </w:rPr>
        <w:t>c</w:t>
      </w:r>
      <w:r>
        <w:rPr>
          <w:rFonts w:ascii="Times" w:hAnsi="Times"/>
        </w:rPr>
        <w:t xml:space="preserve">ongressional </w:t>
      </w:r>
      <w:r w:rsidR="00DE5D57">
        <w:rPr>
          <w:rFonts w:ascii="Times" w:hAnsi="Times"/>
        </w:rPr>
        <w:t>m</w:t>
      </w:r>
      <w:r>
        <w:rPr>
          <w:rFonts w:ascii="Times" w:hAnsi="Times"/>
        </w:rPr>
        <w:t>aps passed through the Republican State Legislature</w:t>
      </w:r>
      <w:r w:rsidR="00DE5D57">
        <w:rPr>
          <w:rFonts w:ascii="Times" w:hAnsi="Times"/>
        </w:rPr>
        <w:t xml:space="preserve">, </w:t>
      </w:r>
      <w:r>
        <w:rPr>
          <w:rFonts w:ascii="Times" w:hAnsi="Times"/>
        </w:rPr>
        <w:t>were signed into law, without issue, by Republican Governor Bob McDonnell</w:t>
      </w:r>
      <w:r w:rsidR="00DE5D57">
        <w:rPr>
          <w:rFonts w:ascii="Times" w:hAnsi="Times"/>
        </w:rPr>
        <w:t xml:space="preserve">, </w:t>
      </w:r>
      <w:r w:rsidR="003A5D17">
        <w:rPr>
          <w:rFonts w:ascii="Times" w:hAnsi="Times"/>
        </w:rPr>
        <w:t>and received preclearance from the Department of Justice</w:t>
      </w:r>
      <w:r>
        <w:rPr>
          <w:rFonts w:ascii="Times" w:hAnsi="Times"/>
        </w:rPr>
        <w:t>.</w:t>
      </w:r>
      <w:r w:rsidR="00AC7B4D">
        <w:rPr>
          <w:rStyle w:val="FootnoteReference"/>
          <w:rFonts w:ascii="Times" w:hAnsi="Times"/>
        </w:rPr>
        <w:footnoteReference w:id="1"/>
      </w:r>
      <w:r w:rsidR="003D0162">
        <w:rPr>
          <w:rFonts w:ascii="Times" w:hAnsi="Times"/>
        </w:rPr>
        <w:t xml:space="preserve"> Although Governor McDonnell solicited the advice of five citizens for that cycle, the Legislature relied on its own maps and ignored the advice of the citizen commissioners.</w:t>
      </w:r>
      <w:r w:rsidR="00A37273">
        <w:rPr>
          <w:rStyle w:val="FootnoteReference"/>
          <w:rFonts w:ascii="Times" w:hAnsi="Times"/>
        </w:rPr>
        <w:footnoteReference w:id="2"/>
      </w:r>
    </w:p>
    <w:p w14:paraId="7EF0AF94" w14:textId="77777777" w:rsidR="008D04D8" w:rsidRDefault="008D04D8" w:rsidP="00B22D57">
      <w:pPr>
        <w:spacing w:line="480" w:lineRule="auto"/>
        <w:jc w:val="center"/>
        <w:rPr>
          <w:rFonts w:ascii="Times" w:hAnsi="Times"/>
          <w:i/>
          <w:iCs/>
        </w:rPr>
      </w:pPr>
    </w:p>
    <w:p w14:paraId="1A4FD8D0" w14:textId="77777777" w:rsidR="008D04D8" w:rsidRDefault="008D04D8" w:rsidP="00B22D57">
      <w:pPr>
        <w:spacing w:line="480" w:lineRule="auto"/>
        <w:jc w:val="center"/>
        <w:rPr>
          <w:rFonts w:ascii="Times" w:hAnsi="Times"/>
          <w:i/>
          <w:iCs/>
        </w:rPr>
      </w:pPr>
    </w:p>
    <w:p w14:paraId="54EF4939" w14:textId="77777777" w:rsidR="00F514CA" w:rsidRDefault="00F514CA" w:rsidP="00B22D57">
      <w:pPr>
        <w:spacing w:line="480" w:lineRule="auto"/>
        <w:jc w:val="center"/>
        <w:rPr>
          <w:rFonts w:ascii="Times" w:hAnsi="Times"/>
          <w:i/>
          <w:iCs/>
        </w:rPr>
      </w:pPr>
    </w:p>
    <w:p w14:paraId="45D8A1EB" w14:textId="69008B5C" w:rsidR="00B22D57" w:rsidRPr="00B22D57" w:rsidRDefault="00B22D57" w:rsidP="00B22D57">
      <w:pPr>
        <w:spacing w:line="480" w:lineRule="auto"/>
        <w:jc w:val="center"/>
        <w:rPr>
          <w:rFonts w:ascii="Times" w:hAnsi="Times"/>
        </w:rPr>
      </w:pPr>
      <w:r w:rsidRPr="00B22D57">
        <w:rPr>
          <w:rFonts w:ascii="Times" w:hAnsi="Times"/>
          <w:i/>
          <w:iCs/>
        </w:rPr>
        <w:lastRenderedPageBreak/>
        <w:t>Virginia’s Congressional Plan Enacted in 2012</w:t>
      </w:r>
      <w:r>
        <w:rPr>
          <w:rStyle w:val="FootnoteReference"/>
          <w:rFonts w:ascii="Times" w:hAnsi="Times"/>
          <w:i/>
          <w:iCs/>
        </w:rPr>
        <w:footnoteReference w:id="3"/>
      </w:r>
    </w:p>
    <w:p w14:paraId="49C1F9BD" w14:textId="66E3B215" w:rsidR="00B22D57" w:rsidRDefault="004F5E9B" w:rsidP="00735708">
      <w:pPr>
        <w:spacing w:line="480" w:lineRule="auto"/>
        <w:rPr>
          <w:rFonts w:ascii="Times" w:hAnsi="Times"/>
        </w:rPr>
      </w:pPr>
      <w:r>
        <w:rPr>
          <w:rFonts w:ascii="Times" w:hAnsi="Times"/>
          <w:noProof/>
        </w:rPr>
        <w:drawing>
          <wp:anchor distT="0" distB="0" distL="114300" distR="114300" simplePos="0" relativeHeight="251662336" behindDoc="1" locked="0" layoutInCell="1" allowOverlap="1" wp14:anchorId="5E49E314" wp14:editId="015ACED8">
            <wp:simplePos x="0" y="0"/>
            <wp:positionH relativeFrom="column">
              <wp:posOffset>694055</wp:posOffset>
            </wp:positionH>
            <wp:positionV relativeFrom="paragraph">
              <wp:posOffset>63077</wp:posOffset>
            </wp:positionV>
            <wp:extent cx="4470400" cy="2215515"/>
            <wp:effectExtent l="0" t="0" r="0" b="0"/>
            <wp:wrapSquare wrapText="bothSides"/>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70400" cy="2215515"/>
                    </a:xfrm>
                    <a:prstGeom prst="rect">
                      <a:avLst/>
                    </a:prstGeom>
                  </pic:spPr>
                </pic:pic>
              </a:graphicData>
            </a:graphic>
            <wp14:sizeRelH relativeFrom="page">
              <wp14:pctWidth>0</wp14:pctWidth>
            </wp14:sizeRelH>
            <wp14:sizeRelV relativeFrom="page">
              <wp14:pctHeight>0</wp14:pctHeight>
            </wp14:sizeRelV>
          </wp:anchor>
        </w:drawing>
      </w:r>
    </w:p>
    <w:p w14:paraId="64218793" w14:textId="4AEC0401" w:rsidR="00B22D57" w:rsidRDefault="00B22D57" w:rsidP="00735708">
      <w:pPr>
        <w:spacing w:line="480" w:lineRule="auto"/>
        <w:rPr>
          <w:rFonts w:ascii="Times" w:hAnsi="Times"/>
        </w:rPr>
      </w:pPr>
    </w:p>
    <w:p w14:paraId="3D5C4A3B" w14:textId="42D4566D" w:rsidR="00B22D57" w:rsidRDefault="00B22D57" w:rsidP="00735708">
      <w:pPr>
        <w:spacing w:line="480" w:lineRule="auto"/>
        <w:rPr>
          <w:rFonts w:ascii="Times" w:hAnsi="Times"/>
        </w:rPr>
      </w:pPr>
    </w:p>
    <w:p w14:paraId="4A3B7503" w14:textId="3FE54B1B" w:rsidR="00B22D57" w:rsidRDefault="00B22D57" w:rsidP="00735708">
      <w:pPr>
        <w:spacing w:line="480" w:lineRule="auto"/>
        <w:rPr>
          <w:rFonts w:ascii="Times" w:hAnsi="Times"/>
        </w:rPr>
      </w:pPr>
    </w:p>
    <w:p w14:paraId="454BB981" w14:textId="011566D2" w:rsidR="006D55DF" w:rsidRDefault="006D55DF" w:rsidP="00735708">
      <w:pPr>
        <w:spacing w:line="480" w:lineRule="auto"/>
        <w:rPr>
          <w:rFonts w:ascii="Times" w:hAnsi="Times"/>
        </w:rPr>
      </w:pPr>
    </w:p>
    <w:p w14:paraId="05241005" w14:textId="3793592E" w:rsidR="007D63CF" w:rsidRDefault="0074657B" w:rsidP="00D83B7D">
      <w:pPr>
        <w:spacing w:line="480" w:lineRule="auto"/>
        <w:ind w:firstLine="720"/>
        <w:rPr>
          <w:rFonts w:ascii="Times" w:hAnsi="Times"/>
        </w:rPr>
      </w:pPr>
      <w:r>
        <w:rPr>
          <w:rFonts w:ascii="Times" w:hAnsi="Times"/>
        </w:rPr>
        <w:t xml:space="preserve">The 2010 congressional plans </w:t>
      </w:r>
      <w:r w:rsidR="00E55931">
        <w:rPr>
          <w:rFonts w:ascii="Times" w:hAnsi="Times"/>
        </w:rPr>
        <w:t xml:space="preserve">later </w:t>
      </w:r>
      <w:r>
        <w:rPr>
          <w:rFonts w:ascii="Times" w:hAnsi="Times"/>
        </w:rPr>
        <w:t xml:space="preserve">faced </w:t>
      </w:r>
      <w:r w:rsidR="001A2C08">
        <w:rPr>
          <w:rFonts w:ascii="Times" w:hAnsi="Times"/>
        </w:rPr>
        <w:t>a successful</w:t>
      </w:r>
      <w:r>
        <w:rPr>
          <w:rFonts w:ascii="Times" w:hAnsi="Times"/>
        </w:rPr>
        <w:t xml:space="preserve"> legal challenge</w:t>
      </w:r>
      <w:r w:rsidR="001A2C08">
        <w:rPr>
          <w:rFonts w:ascii="Times" w:hAnsi="Times"/>
        </w:rPr>
        <w:t xml:space="preserve">, </w:t>
      </w:r>
      <w:proofErr w:type="spellStart"/>
      <w:r w:rsidR="0004704A">
        <w:rPr>
          <w:rFonts w:ascii="Times" w:hAnsi="Times"/>
          <w:i/>
          <w:iCs/>
        </w:rPr>
        <w:t>Personhuballah</w:t>
      </w:r>
      <w:proofErr w:type="spellEnd"/>
      <w:r w:rsidR="0004704A">
        <w:rPr>
          <w:rFonts w:ascii="Times" w:hAnsi="Times"/>
          <w:i/>
          <w:iCs/>
        </w:rPr>
        <w:t xml:space="preserve"> v. Alcorn</w:t>
      </w:r>
      <w:r w:rsidR="0004704A">
        <w:rPr>
          <w:rFonts w:ascii="Times" w:hAnsi="Times"/>
        </w:rPr>
        <w:t xml:space="preserve">, </w:t>
      </w:r>
      <w:r w:rsidR="001D7DC0">
        <w:rPr>
          <w:rFonts w:ascii="Times" w:hAnsi="Times"/>
        </w:rPr>
        <w:t>in which the Court struck down the plan for its unjustified predominant use of race</w:t>
      </w:r>
      <w:r w:rsidR="001A2C08">
        <w:rPr>
          <w:rFonts w:ascii="Times" w:hAnsi="Times"/>
        </w:rPr>
        <w:t>.</w:t>
      </w:r>
      <w:r w:rsidR="00B859BF">
        <w:rPr>
          <w:rFonts w:ascii="Times" w:hAnsi="Times"/>
        </w:rPr>
        <w:t xml:space="preserve"> </w:t>
      </w:r>
      <w:r w:rsidR="001A2C08">
        <w:rPr>
          <w:rFonts w:ascii="Times" w:hAnsi="Times"/>
        </w:rPr>
        <w:t>The Court</w:t>
      </w:r>
      <w:r w:rsidR="00B859BF">
        <w:rPr>
          <w:rFonts w:ascii="Times" w:hAnsi="Times"/>
        </w:rPr>
        <w:t xml:space="preserve"> brought in </w:t>
      </w:r>
      <w:r w:rsidR="00BE7BF3">
        <w:rPr>
          <w:rFonts w:ascii="Times" w:hAnsi="Times"/>
        </w:rPr>
        <w:t xml:space="preserve">Bernard </w:t>
      </w:r>
      <w:proofErr w:type="spellStart"/>
      <w:r w:rsidR="00BE7BF3">
        <w:rPr>
          <w:rFonts w:ascii="Times" w:hAnsi="Times"/>
        </w:rPr>
        <w:t>Grofman</w:t>
      </w:r>
      <w:proofErr w:type="spellEnd"/>
      <w:r w:rsidR="00BE7BF3">
        <w:rPr>
          <w:rFonts w:ascii="Times" w:hAnsi="Times"/>
        </w:rPr>
        <w:t xml:space="preserve"> as Special Master to redraw the problematic districts within the plan</w:t>
      </w:r>
      <w:r w:rsidR="00B859BF">
        <w:rPr>
          <w:rFonts w:ascii="Times" w:hAnsi="Times"/>
        </w:rPr>
        <w:t>.</w:t>
      </w:r>
      <w:r w:rsidR="00DD6ADC" w:rsidRPr="00DD6ADC">
        <w:rPr>
          <w:rStyle w:val="FootnoteReference"/>
          <w:rFonts w:ascii="Times" w:hAnsi="Times"/>
        </w:rPr>
        <w:t xml:space="preserve"> </w:t>
      </w:r>
      <w:r w:rsidR="00DD6ADC">
        <w:rPr>
          <w:rStyle w:val="FootnoteReference"/>
          <w:rFonts w:ascii="Times" w:hAnsi="Times"/>
        </w:rPr>
        <w:footnoteReference w:id="4"/>
      </w:r>
      <w:r w:rsidR="00DD6ADC">
        <w:t xml:space="preserve"> </w:t>
      </w:r>
      <w:r w:rsidR="00A70473">
        <w:t xml:space="preserve">Calls for reform to Virginia’s redistricting process </w:t>
      </w:r>
      <w:r w:rsidR="0087094A">
        <w:rPr>
          <w:rFonts w:ascii="Times" w:hAnsi="Times"/>
        </w:rPr>
        <w:t>have</w:t>
      </w:r>
      <w:r w:rsidR="00A70473">
        <w:rPr>
          <w:rFonts w:ascii="Times" w:hAnsi="Times"/>
        </w:rPr>
        <w:t xml:space="preserve"> complained of</w:t>
      </w:r>
      <w:r w:rsidR="0087094A">
        <w:rPr>
          <w:rFonts w:ascii="Times" w:hAnsi="Times"/>
        </w:rPr>
        <w:t xml:space="preserve"> excessive city and county splits </w:t>
      </w:r>
      <w:r w:rsidR="00A70473">
        <w:rPr>
          <w:rFonts w:ascii="Times" w:hAnsi="Times"/>
        </w:rPr>
        <w:t>that contribute to</w:t>
      </w:r>
      <w:r w:rsidR="0087094A">
        <w:rPr>
          <w:rFonts w:ascii="Times" w:hAnsi="Times"/>
        </w:rPr>
        <w:t xml:space="preserve"> intense partisan divides.</w:t>
      </w:r>
      <w:r w:rsidR="0087094A">
        <w:rPr>
          <w:rStyle w:val="FootnoteReference"/>
          <w:rFonts w:ascii="Times" w:hAnsi="Times"/>
        </w:rPr>
        <w:footnoteReference w:id="5"/>
      </w:r>
    </w:p>
    <w:p w14:paraId="648ECEAA" w14:textId="4514FA4C" w:rsidR="00527915" w:rsidRPr="00527915" w:rsidRDefault="00527915" w:rsidP="00D83B7D">
      <w:pPr>
        <w:spacing w:line="480" w:lineRule="auto"/>
        <w:ind w:firstLine="720"/>
        <w:rPr>
          <w:rFonts w:ascii="Times" w:hAnsi="Times"/>
        </w:rPr>
      </w:pPr>
      <w:r>
        <w:rPr>
          <w:rFonts w:ascii="Times" w:hAnsi="Times"/>
        </w:rPr>
        <w:tab/>
      </w:r>
      <w:r>
        <w:rPr>
          <w:rFonts w:ascii="Times" w:hAnsi="Times"/>
        </w:rPr>
        <w:tab/>
      </w:r>
      <w:r>
        <w:rPr>
          <w:rFonts w:ascii="Times" w:hAnsi="Times"/>
          <w:i/>
          <w:iCs/>
        </w:rPr>
        <w:t>Virginia’s Congressional Plan Post-</w:t>
      </w:r>
      <w:proofErr w:type="spellStart"/>
      <w:r>
        <w:rPr>
          <w:rFonts w:ascii="Times" w:hAnsi="Times"/>
        </w:rPr>
        <w:t>Personhuballah</w:t>
      </w:r>
      <w:proofErr w:type="spellEnd"/>
      <w:r w:rsidR="00BD4CA1">
        <w:rPr>
          <w:rStyle w:val="FootnoteReference"/>
          <w:rFonts w:ascii="Times" w:hAnsi="Times"/>
        </w:rPr>
        <w:footnoteReference w:id="6"/>
      </w:r>
    </w:p>
    <w:p w14:paraId="0592B9C9" w14:textId="607D6278" w:rsidR="00527915" w:rsidRDefault="00B22D57" w:rsidP="00D83B7D">
      <w:pPr>
        <w:spacing w:line="480" w:lineRule="auto"/>
        <w:ind w:firstLine="720"/>
        <w:rPr>
          <w:rFonts w:ascii="Times" w:hAnsi="Times"/>
        </w:rPr>
      </w:pPr>
      <w:r>
        <w:rPr>
          <w:rFonts w:ascii="Times" w:hAnsi="Times"/>
          <w:noProof/>
        </w:rPr>
        <w:drawing>
          <wp:inline distT="0" distB="0" distL="0" distR="0" wp14:anchorId="45377355" wp14:editId="70D26782">
            <wp:extent cx="4836037" cy="2209800"/>
            <wp:effectExtent l="0" t="0" r="3175" b="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71685" cy="2226089"/>
                    </a:xfrm>
                    <a:prstGeom prst="rect">
                      <a:avLst/>
                    </a:prstGeom>
                  </pic:spPr>
                </pic:pic>
              </a:graphicData>
            </a:graphic>
          </wp:inline>
        </w:drawing>
      </w:r>
    </w:p>
    <w:p w14:paraId="4D4909DA" w14:textId="41E4BECD" w:rsidR="007D63CF" w:rsidRPr="00FD4E9E" w:rsidRDefault="007D63CF" w:rsidP="00FD4E9E">
      <w:pPr>
        <w:spacing w:line="480" w:lineRule="auto"/>
        <w:rPr>
          <w:rFonts w:ascii="Times" w:hAnsi="Times"/>
          <w:b/>
          <w:bCs/>
          <w:sz w:val="32"/>
          <w:szCs w:val="32"/>
        </w:rPr>
      </w:pPr>
      <w:r>
        <w:rPr>
          <w:rFonts w:ascii="Times" w:hAnsi="Times"/>
          <w:b/>
          <w:bCs/>
          <w:sz w:val="32"/>
          <w:szCs w:val="32"/>
        </w:rPr>
        <w:lastRenderedPageBreak/>
        <w:t xml:space="preserve">Virginia’s Congressional </w:t>
      </w:r>
      <w:r w:rsidR="00CA51CE">
        <w:rPr>
          <w:rFonts w:ascii="Times" w:hAnsi="Times"/>
          <w:b/>
          <w:bCs/>
          <w:sz w:val="32"/>
          <w:szCs w:val="32"/>
        </w:rPr>
        <w:t>2020 Redistricting</w:t>
      </w:r>
      <w:r>
        <w:rPr>
          <w:rFonts w:ascii="Times" w:hAnsi="Times"/>
          <w:b/>
          <w:bCs/>
          <w:sz w:val="32"/>
          <w:szCs w:val="32"/>
        </w:rPr>
        <w:t xml:space="preserve"> </w:t>
      </w:r>
      <w:r w:rsidR="004F5E9B">
        <w:rPr>
          <w:rFonts w:ascii="Times" w:hAnsi="Times"/>
          <w:b/>
          <w:bCs/>
          <w:sz w:val="32"/>
          <w:szCs w:val="32"/>
        </w:rPr>
        <w:t>Cycle</w:t>
      </w:r>
      <w:r>
        <w:rPr>
          <w:rFonts w:ascii="Times" w:hAnsi="Times"/>
          <w:b/>
          <w:bCs/>
          <w:sz w:val="32"/>
          <w:szCs w:val="32"/>
        </w:rPr>
        <w:t xml:space="preserve"> and Population Changes</w:t>
      </w:r>
    </w:p>
    <w:p w14:paraId="207A105A" w14:textId="79315DEC" w:rsidR="00A4764E" w:rsidRDefault="00954DB2" w:rsidP="00CB2114">
      <w:pPr>
        <w:spacing w:line="480" w:lineRule="auto"/>
        <w:ind w:firstLine="720"/>
        <w:jc w:val="both"/>
        <w:rPr>
          <w:rFonts w:ascii="Times" w:hAnsi="Times"/>
        </w:rPr>
      </w:pPr>
      <w:r>
        <w:rPr>
          <w:rFonts w:ascii="Times" w:hAnsi="Times"/>
        </w:rPr>
        <w:t>Between 2010 and 2020,</w:t>
      </w:r>
      <w:r w:rsidR="00F60314">
        <w:rPr>
          <w:rFonts w:ascii="Times" w:hAnsi="Times"/>
        </w:rPr>
        <w:t xml:space="preserve"> Virginia</w:t>
      </w:r>
      <w:r>
        <w:rPr>
          <w:rFonts w:ascii="Times" w:hAnsi="Times"/>
        </w:rPr>
        <w:t>’s population grew 7.9%.</w:t>
      </w:r>
      <w:r w:rsidR="008F6683">
        <w:rPr>
          <w:rStyle w:val="FootnoteReference"/>
          <w:rFonts w:ascii="Times" w:hAnsi="Times"/>
        </w:rPr>
        <w:footnoteReference w:id="7"/>
      </w:r>
      <w:r>
        <w:rPr>
          <w:rFonts w:ascii="Times" w:hAnsi="Times"/>
        </w:rPr>
        <w:t xml:space="preserve"> Even so, the state</w:t>
      </w:r>
      <w:r w:rsidR="00F60314">
        <w:rPr>
          <w:rFonts w:ascii="Times" w:hAnsi="Times"/>
        </w:rPr>
        <w:t xml:space="preserve"> retained</w:t>
      </w:r>
      <w:r w:rsidR="005C0C44">
        <w:rPr>
          <w:rFonts w:ascii="Times" w:hAnsi="Times"/>
        </w:rPr>
        <w:t xml:space="preserve"> </w:t>
      </w:r>
      <w:r>
        <w:rPr>
          <w:rFonts w:ascii="Times" w:hAnsi="Times"/>
        </w:rPr>
        <w:t xml:space="preserve">its </w:t>
      </w:r>
      <w:r w:rsidR="00F60314">
        <w:rPr>
          <w:rFonts w:ascii="Times" w:hAnsi="Times"/>
        </w:rPr>
        <w:t>11 congressional districts</w:t>
      </w:r>
      <w:r>
        <w:rPr>
          <w:rFonts w:ascii="Times" w:hAnsi="Times"/>
        </w:rPr>
        <w:t>.</w:t>
      </w:r>
      <w:r w:rsidR="00F60314">
        <w:rPr>
          <w:rFonts w:ascii="Times" w:hAnsi="Times"/>
        </w:rPr>
        <w:t xml:space="preserve"> </w:t>
      </w:r>
      <w:r>
        <w:rPr>
          <w:rFonts w:ascii="Times" w:hAnsi="Times"/>
        </w:rPr>
        <w:t>However</w:t>
      </w:r>
      <w:r w:rsidR="00F60314">
        <w:rPr>
          <w:rFonts w:ascii="Times" w:hAnsi="Times"/>
        </w:rPr>
        <w:t xml:space="preserve">, demographic trends mandated significant adjustments to the existing maps to comply with one-person, one-vote </w:t>
      </w:r>
      <w:r w:rsidR="00F60314" w:rsidRPr="006B240E">
        <w:rPr>
          <w:rFonts w:ascii="Times" w:hAnsi="Times"/>
        </w:rPr>
        <w:t>requirements. Since 2010, Virginia saw continued, extensive population growth in</w:t>
      </w:r>
      <w:r w:rsidR="00ED6E08">
        <w:rPr>
          <w:rFonts w:ascii="Times" w:hAnsi="Times"/>
        </w:rPr>
        <w:t xml:space="preserve"> urban and suburban areas, especially in the</w:t>
      </w:r>
      <w:r w:rsidR="00F60314" w:rsidRPr="006B240E">
        <w:rPr>
          <w:rFonts w:ascii="Times" w:hAnsi="Times"/>
        </w:rPr>
        <w:t xml:space="preserve"> </w:t>
      </w:r>
      <w:r w:rsidR="00F462B9" w:rsidRPr="006B240E">
        <w:rPr>
          <w:rFonts w:ascii="Times" w:hAnsi="Times"/>
        </w:rPr>
        <w:t>Northern and Northwestern regions of the state. Loudon</w:t>
      </w:r>
      <w:r w:rsidR="001A3A11">
        <w:rPr>
          <w:rFonts w:ascii="Times" w:hAnsi="Times"/>
        </w:rPr>
        <w:t xml:space="preserve"> County</w:t>
      </w:r>
      <w:r w:rsidR="002E6837">
        <w:rPr>
          <w:rFonts w:ascii="Times" w:hAnsi="Times"/>
        </w:rPr>
        <w:t xml:space="preserve">, in the D.C. suburbs, </w:t>
      </w:r>
      <w:r w:rsidR="001A3A11">
        <w:rPr>
          <w:rFonts w:ascii="Times" w:hAnsi="Times"/>
        </w:rPr>
        <w:t>grew by 35%, or 108,000 people</w:t>
      </w:r>
      <w:r w:rsidR="002E6837">
        <w:rPr>
          <w:rFonts w:ascii="Times" w:hAnsi="Times"/>
        </w:rPr>
        <w:t xml:space="preserve">, leaving its </w:t>
      </w:r>
      <w:r w:rsidR="002E6837" w:rsidRPr="006B240E">
        <w:rPr>
          <w:rFonts w:ascii="Times" w:hAnsi="Times"/>
        </w:rPr>
        <w:t>10</w:t>
      </w:r>
      <w:r w:rsidR="002E6837" w:rsidRPr="006B240E">
        <w:rPr>
          <w:rFonts w:ascii="Times" w:hAnsi="Times"/>
          <w:vertAlign w:val="superscript"/>
        </w:rPr>
        <w:t>th</w:t>
      </w:r>
      <w:r w:rsidR="002E6837" w:rsidRPr="006B240E">
        <w:rPr>
          <w:rFonts w:ascii="Times" w:hAnsi="Times"/>
        </w:rPr>
        <w:t xml:space="preserve"> Congressional Distric</w:t>
      </w:r>
      <w:r w:rsidR="002E6837">
        <w:rPr>
          <w:rFonts w:ascii="Times" w:hAnsi="Times"/>
        </w:rPr>
        <w:t>t</w:t>
      </w:r>
      <w:r w:rsidR="002E6837">
        <w:rPr>
          <w:rFonts w:ascii="Times" w:hAnsi="Times"/>
        </w:rPr>
        <w:t xml:space="preserve"> with</w:t>
      </w:r>
      <w:r w:rsidR="00F462B9" w:rsidRPr="006B240E">
        <w:rPr>
          <w:rFonts w:ascii="Times" w:hAnsi="Times"/>
        </w:rPr>
        <w:t xml:space="preserve"> </w:t>
      </w:r>
      <w:r w:rsidR="00A4764E">
        <w:rPr>
          <w:rFonts w:ascii="Times" w:hAnsi="Times"/>
        </w:rPr>
        <w:t>significant</w:t>
      </w:r>
      <w:r w:rsidR="006B240E">
        <w:rPr>
          <w:rFonts w:ascii="Times" w:hAnsi="Times"/>
        </w:rPr>
        <w:t xml:space="preserve"> deviation from ideal population value</w:t>
      </w:r>
      <w:r w:rsidR="00F60314" w:rsidRPr="006B240E">
        <w:rPr>
          <w:rFonts w:ascii="Times" w:hAnsi="Times"/>
        </w:rPr>
        <w:t>.</w:t>
      </w:r>
      <w:r w:rsidR="00F60314">
        <w:rPr>
          <w:rFonts w:ascii="Times" w:hAnsi="Times"/>
        </w:rPr>
        <w:t xml:space="preserve"> </w:t>
      </w:r>
      <w:r w:rsidR="00F462B9">
        <w:rPr>
          <w:rFonts w:ascii="Times" w:hAnsi="Times"/>
        </w:rPr>
        <w:t xml:space="preserve">Meanwhile, the </w:t>
      </w:r>
      <w:r w:rsidR="002775BC">
        <w:rPr>
          <w:rFonts w:ascii="Times" w:hAnsi="Times"/>
        </w:rPr>
        <w:t xml:space="preserve">former </w:t>
      </w:r>
      <w:r w:rsidR="00F462B9">
        <w:rPr>
          <w:rFonts w:ascii="Times" w:hAnsi="Times"/>
        </w:rPr>
        <w:t>5</w:t>
      </w:r>
      <w:r w:rsidR="00F462B9" w:rsidRPr="00F462B9">
        <w:rPr>
          <w:rFonts w:ascii="Times" w:hAnsi="Times"/>
          <w:vertAlign w:val="superscript"/>
        </w:rPr>
        <w:t>th</w:t>
      </w:r>
      <w:r w:rsidR="00F462B9">
        <w:rPr>
          <w:rFonts w:ascii="Times" w:hAnsi="Times"/>
        </w:rPr>
        <w:t xml:space="preserve"> (stretching from the top of the state to its southern border), the 2</w:t>
      </w:r>
      <w:r w:rsidR="00F462B9" w:rsidRPr="00F462B9">
        <w:rPr>
          <w:rFonts w:ascii="Times" w:hAnsi="Times"/>
          <w:vertAlign w:val="superscript"/>
        </w:rPr>
        <w:t>nd</w:t>
      </w:r>
      <w:r w:rsidR="00F462B9">
        <w:rPr>
          <w:rFonts w:ascii="Times" w:hAnsi="Times"/>
        </w:rPr>
        <w:t xml:space="preserve"> (Chesapeake Bay area counties</w:t>
      </w:r>
      <w:r w:rsidR="006B240E">
        <w:rPr>
          <w:rFonts w:ascii="Times" w:hAnsi="Times"/>
        </w:rPr>
        <w:t>), and</w:t>
      </w:r>
      <w:r w:rsidR="00F462B9">
        <w:rPr>
          <w:rFonts w:ascii="Times" w:hAnsi="Times"/>
        </w:rPr>
        <w:t xml:space="preserve"> 3</w:t>
      </w:r>
      <w:r w:rsidR="00F462B9" w:rsidRPr="00F462B9">
        <w:rPr>
          <w:rFonts w:ascii="Times" w:hAnsi="Times"/>
          <w:vertAlign w:val="superscript"/>
        </w:rPr>
        <w:t>rd</w:t>
      </w:r>
      <w:r w:rsidR="00F462B9">
        <w:rPr>
          <w:rFonts w:ascii="Times" w:hAnsi="Times"/>
        </w:rPr>
        <w:t xml:space="preserve"> (the </w:t>
      </w:r>
      <w:r w:rsidR="002775BC">
        <w:rPr>
          <w:rFonts w:ascii="Times" w:hAnsi="Times"/>
        </w:rPr>
        <w:t>majority</w:t>
      </w:r>
      <w:r w:rsidR="00A4764E">
        <w:rPr>
          <w:rFonts w:ascii="Times" w:hAnsi="Times"/>
        </w:rPr>
        <w:t xml:space="preserve">-minority </w:t>
      </w:r>
      <w:r w:rsidR="00F462B9">
        <w:rPr>
          <w:rFonts w:ascii="Times" w:hAnsi="Times"/>
        </w:rPr>
        <w:t xml:space="preserve">district </w:t>
      </w:r>
      <w:r w:rsidR="002775BC">
        <w:rPr>
          <w:rFonts w:ascii="Times" w:hAnsi="Times"/>
        </w:rPr>
        <w:t>tracking the</w:t>
      </w:r>
      <w:r w:rsidR="00F462B9">
        <w:rPr>
          <w:rFonts w:ascii="Times" w:hAnsi="Times"/>
        </w:rPr>
        <w:t xml:space="preserve"> Hampton Roads</w:t>
      </w:r>
      <w:r w:rsidR="002775BC">
        <w:rPr>
          <w:rFonts w:ascii="Times" w:hAnsi="Times"/>
        </w:rPr>
        <w:t xml:space="preserve"> Beltway)</w:t>
      </w:r>
      <w:r w:rsidR="00F462B9">
        <w:rPr>
          <w:rFonts w:ascii="Times" w:hAnsi="Times"/>
        </w:rPr>
        <w:t xml:space="preserve"> </w:t>
      </w:r>
      <w:r w:rsidR="002775BC">
        <w:rPr>
          <w:rFonts w:ascii="Times" w:hAnsi="Times"/>
        </w:rPr>
        <w:t>Districts</w:t>
      </w:r>
      <w:r w:rsidR="00F462B9">
        <w:rPr>
          <w:rFonts w:ascii="Times" w:hAnsi="Times"/>
        </w:rPr>
        <w:t xml:space="preserve"> </w:t>
      </w:r>
      <w:r w:rsidR="009944CF">
        <w:rPr>
          <w:rFonts w:ascii="Times" w:hAnsi="Times"/>
        </w:rPr>
        <w:t>deviated at least</w:t>
      </w:r>
      <w:r w:rsidR="002775BC">
        <w:rPr>
          <w:rFonts w:ascii="Times" w:hAnsi="Times"/>
        </w:rPr>
        <w:t xml:space="preserve"> 3% </w:t>
      </w:r>
      <w:r w:rsidR="009944CF">
        <w:rPr>
          <w:rFonts w:ascii="Times" w:hAnsi="Times"/>
        </w:rPr>
        <w:t>under the ideal population value</w:t>
      </w:r>
      <w:r w:rsidR="002775BC">
        <w:rPr>
          <w:rFonts w:ascii="Times" w:hAnsi="Times"/>
        </w:rPr>
        <w:t xml:space="preserve">. </w:t>
      </w:r>
    </w:p>
    <w:p w14:paraId="6D2B397C" w14:textId="42FA1FCA" w:rsidR="00CB2114" w:rsidRDefault="00A4764E" w:rsidP="00CB2114">
      <w:pPr>
        <w:spacing w:line="480" w:lineRule="auto"/>
        <w:ind w:firstLine="720"/>
        <w:jc w:val="both"/>
        <w:rPr>
          <w:rFonts w:ascii="Times" w:hAnsi="Times"/>
        </w:rPr>
      </w:pPr>
      <w:r>
        <w:rPr>
          <w:rFonts w:ascii="Times" w:hAnsi="Times"/>
        </w:rPr>
        <w:t>As a result, v</w:t>
      </w:r>
      <w:r w:rsidR="009944CF">
        <w:rPr>
          <w:rFonts w:ascii="Times" w:hAnsi="Times"/>
        </w:rPr>
        <w:t xml:space="preserve">oters needed to be </w:t>
      </w:r>
      <w:r w:rsidR="005E4D6B">
        <w:rPr>
          <w:rFonts w:ascii="Times" w:hAnsi="Times"/>
        </w:rPr>
        <w:t>shifted from</w:t>
      </w:r>
      <w:r w:rsidR="009944CF">
        <w:rPr>
          <w:rFonts w:ascii="Times" w:hAnsi="Times"/>
        </w:rPr>
        <w:t xml:space="preserve"> the D.C. suburbs </w:t>
      </w:r>
      <w:r w:rsidR="005E4D6B">
        <w:rPr>
          <w:rFonts w:ascii="Times" w:hAnsi="Times"/>
        </w:rPr>
        <w:t>towards</w:t>
      </w:r>
      <w:r w:rsidR="009944CF">
        <w:rPr>
          <w:rFonts w:ascii="Times" w:hAnsi="Times"/>
        </w:rPr>
        <w:t xml:space="preserve"> the </w:t>
      </w:r>
      <w:r w:rsidR="00943B00">
        <w:rPr>
          <w:rFonts w:ascii="Times" w:hAnsi="Times"/>
        </w:rPr>
        <w:t>Southside and southeastern corner of the state.</w:t>
      </w:r>
      <w:r w:rsidR="005E4D6B">
        <w:rPr>
          <w:rFonts w:ascii="Times" w:hAnsi="Times"/>
        </w:rPr>
        <w:t xml:space="preserve"> These regions span the entire North-South distance of the state, presenting </w:t>
      </w:r>
      <w:r>
        <w:rPr>
          <w:rFonts w:ascii="Times" w:hAnsi="Times"/>
        </w:rPr>
        <w:t>the</w:t>
      </w:r>
      <w:r w:rsidR="005E4D6B">
        <w:rPr>
          <w:rFonts w:ascii="Times" w:hAnsi="Times"/>
        </w:rPr>
        <w:t xml:space="preserve"> major challenge of </w:t>
      </w:r>
      <w:r>
        <w:rPr>
          <w:rFonts w:ascii="Times" w:hAnsi="Times"/>
        </w:rPr>
        <w:t>Virginia’s</w:t>
      </w:r>
      <w:r w:rsidR="005E4D6B">
        <w:rPr>
          <w:rFonts w:ascii="Times" w:hAnsi="Times"/>
        </w:rPr>
        <w:t xml:space="preserve"> 2020 cycle.</w:t>
      </w:r>
      <w:r w:rsidR="00CB2114">
        <w:rPr>
          <w:rFonts w:ascii="Times" w:hAnsi="Times"/>
        </w:rPr>
        <w:t xml:space="preserve"> The state’s largest racial minority, Black Virginians, only grew 9% over the last decade, modest in comparison with the </w:t>
      </w:r>
      <w:r w:rsidR="001B52E3">
        <w:rPr>
          <w:rFonts w:ascii="Times" w:hAnsi="Times"/>
        </w:rPr>
        <w:t>40-plus% gains seen by Hispanic and Asian populations.</w:t>
      </w:r>
      <w:r w:rsidR="008F6683" w:rsidRPr="008F6683">
        <w:rPr>
          <w:rStyle w:val="FootnoteReference"/>
          <w:rFonts w:ascii="Times" w:hAnsi="Times"/>
        </w:rPr>
        <w:t xml:space="preserve"> </w:t>
      </w:r>
      <w:r w:rsidR="008F6683">
        <w:rPr>
          <w:rStyle w:val="FootnoteReference"/>
          <w:rFonts w:ascii="Times" w:hAnsi="Times"/>
        </w:rPr>
        <w:footnoteReference w:id="8"/>
      </w:r>
      <w:r w:rsidR="008F6683" w:rsidRPr="008F6683">
        <w:rPr>
          <w:rStyle w:val="FootnoteReference"/>
          <w:rFonts w:ascii="Times" w:hAnsi="Times"/>
        </w:rPr>
        <w:t xml:space="preserve"> </w:t>
      </w:r>
      <w:r w:rsidR="001B52E3">
        <w:rPr>
          <w:rFonts w:ascii="Times" w:hAnsi="Times"/>
        </w:rPr>
        <w:t xml:space="preserve">Nevertheless, </w:t>
      </w:r>
      <w:r w:rsidR="00896A7C">
        <w:rPr>
          <w:rFonts w:ascii="Times" w:hAnsi="Times"/>
        </w:rPr>
        <w:t xml:space="preserve">Black Virginians make up the largest </w:t>
      </w:r>
      <w:r w:rsidR="00F23061">
        <w:rPr>
          <w:rFonts w:ascii="Times" w:hAnsi="Times"/>
        </w:rPr>
        <w:t>racial minority in Virginia at 19.9% percent of the state population</w:t>
      </w:r>
      <w:r w:rsidR="008F6683">
        <w:rPr>
          <w:rFonts w:ascii="Times" w:hAnsi="Times"/>
        </w:rPr>
        <w:t>.</w:t>
      </w:r>
      <w:r w:rsidR="008F6683">
        <w:rPr>
          <w:rStyle w:val="FootnoteReference"/>
          <w:rFonts w:ascii="Times" w:hAnsi="Times"/>
        </w:rPr>
        <w:footnoteReference w:id="9"/>
      </w:r>
      <w:r w:rsidR="008F6683">
        <w:rPr>
          <w:rFonts w:ascii="Times" w:hAnsi="Times"/>
        </w:rPr>
        <w:t xml:space="preserve"> </w:t>
      </w:r>
      <w:r w:rsidR="00F23061">
        <w:rPr>
          <w:rFonts w:ascii="Times" w:hAnsi="Times"/>
        </w:rPr>
        <w:t>They primarily reside</w:t>
      </w:r>
      <w:r w:rsidR="007E3991">
        <w:rPr>
          <w:rFonts w:ascii="Times" w:hAnsi="Times"/>
        </w:rPr>
        <w:t xml:space="preserve"> in Richmond,</w:t>
      </w:r>
      <w:r>
        <w:rPr>
          <w:rFonts w:ascii="Times" w:hAnsi="Times"/>
        </w:rPr>
        <w:t xml:space="preserve"> </w:t>
      </w:r>
      <w:r w:rsidR="007E3991">
        <w:rPr>
          <w:rFonts w:ascii="Times" w:hAnsi="Times"/>
        </w:rPr>
        <w:t xml:space="preserve">which saw only modest topline population growth since 2010, and Hampton Roads, </w:t>
      </w:r>
      <w:r w:rsidR="007E3991">
        <w:rPr>
          <w:rFonts w:ascii="Times" w:hAnsi="Times"/>
        </w:rPr>
        <w:lastRenderedPageBreak/>
        <w:t>which saw po</w:t>
      </w:r>
      <w:r w:rsidR="00E52CC2">
        <w:rPr>
          <w:rFonts w:ascii="Times" w:hAnsi="Times"/>
        </w:rPr>
        <w:t>pulation decline since 2010.</w:t>
      </w:r>
      <w:r w:rsidR="00E52CC2" w:rsidRPr="00E52CC2">
        <w:rPr>
          <w:rStyle w:val="FootnoteReference"/>
          <w:rFonts w:ascii="Times" w:hAnsi="Times"/>
        </w:rPr>
        <w:t xml:space="preserve"> </w:t>
      </w:r>
      <w:r w:rsidR="00E52CC2">
        <w:rPr>
          <w:rStyle w:val="FootnoteReference"/>
          <w:rFonts w:ascii="Times" w:hAnsi="Times"/>
        </w:rPr>
        <w:footnoteReference w:id="10"/>
      </w:r>
      <w:r w:rsidR="004B1BA4">
        <w:rPr>
          <w:rFonts w:ascii="Times" w:hAnsi="Times"/>
        </w:rPr>
        <w:t xml:space="preserve"> Adjusting for </w:t>
      </w:r>
      <w:r w:rsidR="00A729BF">
        <w:rPr>
          <w:rFonts w:ascii="Times" w:hAnsi="Times"/>
        </w:rPr>
        <w:t>this modest population growth amongst Virginia’s Black community presented another challenge.</w:t>
      </w:r>
    </w:p>
    <w:p w14:paraId="5A6F254F" w14:textId="75FE294E" w:rsidR="00EF24FF" w:rsidRDefault="002775BC" w:rsidP="000B212E">
      <w:pPr>
        <w:spacing w:line="480" w:lineRule="auto"/>
        <w:ind w:firstLine="720"/>
        <w:jc w:val="both"/>
        <w:rPr>
          <w:rFonts w:ascii="Times" w:hAnsi="Times"/>
        </w:rPr>
      </w:pPr>
      <w:r>
        <w:rPr>
          <w:rFonts w:ascii="Times" w:hAnsi="Times"/>
        </w:rPr>
        <w:t xml:space="preserve">Separately, Virginia </w:t>
      </w:r>
      <w:r w:rsidR="000200EE">
        <w:rPr>
          <w:rFonts w:ascii="Times" w:hAnsi="Times"/>
        </w:rPr>
        <w:t>drastically changed</w:t>
      </w:r>
      <w:r>
        <w:rPr>
          <w:rFonts w:ascii="Times" w:hAnsi="Times"/>
        </w:rPr>
        <w:t xml:space="preserve"> its redistricting process</w:t>
      </w:r>
      <w:r w:rsidR="000200EE">
        <w:rPr>
          <w:rFonts w:ascii="Times" w:hAnsi="Times"/>
        </w:rPr>
        <w:t xml:space="preserve"> in this cycle</w:t>
      </w:r>
      <w:r>
        <w:rPr>
          <w:rFonts w:ascii="Times" w:hAnsi="Times"/>
        </w:rPr>
        <w:t xml:space="preserve">. </w:t>
      </w:r>
      <w:r w:rsidR="00A04588">
        <w:rPr>
          <w:rFonts w:ascii="Times" w:hAnsi="Times"/>
        </w:rPr>
        <w:t xml:space="preserve">2020 </w:t>
      </w:r>
      <w:r>
        <w:rPr>
          <w:rFonts w:ascii="Times" w:hAnsi="Times"/>
        </w:rPr>
        <w:t>brought</w:t>
      </w:r>
      <w:r w:rsidR="00A04588">
        <w:rPr>
          <w:rFonts w:ascii="Times" w:hAnsi="Times"/>
        </w:rPr>
        <w:t xml:space="preserve"> </w:t>
      </w:r>
      <w:r w:rsidR="0097096B">
        <w:rPr>
          <w:rFonts w:ascii="Times" w:hAnsi="Times"/>
        </w:rPr>
        <w:t xml:space="preserve">reform in the form of </w:t>
      </w:r>
      <w:r w:rsidR="00F16DEF">
        <w:rPr>
          <w:rFonts w:ascii="Times" w:hAnsi="Times"/>
        </w:rPr>
        <w:t xml:space="preserve">an independent </w:t>
      </w:r>
      <w:r w:rsidR="00A04588">
        <w:rPr>
          <w:rFonts w:ascii="Times" w:hAnsi="Times"/>
        </w:rPr>
        <w:t xml:space="preserve">redistricting </w:t>
      </w:r>
      <w:r w:rsidR="00F16DEF">
        <w:rPr>
          <w:rFonts w:ascii="Times" w:hAnsi="Times"/>
        </w:rPr>
        <w:t>commission</w:t>
      </w:r>
      <w:r>
        <w:rPr>
          <w:rFonts w:ascii="Times" w:hAnsi="Times"/>
        </w:rPr>
        <w:t xml:space="preserve"> </w:t>
      </w:r>
      <w:r w:rsidR="000200EE">
        <w:rPr>
          <w:rFonts w:ascii="Times" w:hAnsi="Times"/>
        </w:rPr>
        <w:t>to lead redistricting</w:t>
      </w:r>
      <w:r>
        <w:rPr>
          <w:rFonts w:ascii="Times" w:hAnsi="Times"/>
        </w:rPr>
        <w:t xml:space="preserve">. </w:t>
      </w:r>
      <w:r w:rsidR="00F16DEF">
        <w:rPr>
          <w:rFonts w:ascii="Times" w:hAnsi="Times"/>
        </w:rPr>
        <w:t xml:space="preserve">However, the </w:t>
      </w:r>
      <w:r w:rsidR="000677F8">
        <w:rPr>
          <w:rFonts w:ascii="Times" w:hAnsi="Times"/>
        </w:rPr>
        <w:t>Virginia R</w:t>
      </w:r>
      <w:r w:rsidR="00F16DEF" w:rsidRPr="000677F8">
        <w:rPr>
          <w:rFonts w:ascii="Times" w:hAnsi="Times"/>
        </w:rPr>
        <w:t xml:space="preserve">edistricting </w:t>
      </w:r>
      <w:r w:rsidR="000677F8">
        <w:rPr>
          <w:rFonts w:ascii="Times" w:hAnsi="Times"/>
        </w:rPr>
        <w:t>C</w:t>
      </w:r>
      <w:r w:rsidR="00F16DEF" w:rsidRPr="000677F8">
        <w:rPr>
          <w:rFonts w:ascii="Times" w:hAnsi="Times"/>
        </w:rPr>
        <w:t>ommission</w:t>
      </w:r>
      <w:r w:rsidR="00F16DEF">
        <w:rPr>
          <w:rFonts w:ascii="Times" w:hAnsi="Times"/>
          <w:b/>
          <w:bCs/>
        </w:rPr>
        <w:t xml:space="preserve"> </w:t>
      </w:r>
      <w:r w:rsidR="00F16DEF">
        <w:rPr>
          <w:rFonts w:ascii="Times" w:hAnsi="Times"/>
        </w:rPr>
        <w:t xml:space="preserve">could not agree on </w:t>
      </w:r>
      <w:r w:rsidR="0097096B">
        <w:rPr>
          <w:rFonts w:ascii="Times" w:hAnsi="Times"/>
        </w:rPr>
        <w:t>a</w:t>
      </w:r>
      <w:r w:rsidR="00F16DEF">
        <w:rPr>
          <w:rFonts w:ascii="Times" w:hAnsi="Times"/>
        </w:rPr>
        <w:t xml:space="preserve"> </w:t>
      </w:r>
      <w:r w:rsidR="0097096B">
        <w:rPr>
          <w:rFonts w:ascii="Times" w:hAnsi="Times"/>
        </w:rPr>
        <w:t>single</w:t>
      </w:r>
      <w:r w:rsidR="00F16DEF">
        <w:rPr>
          <w:rFonts w:ascii="Times" w:hAnsi="Times"/>
        </w:rPr>
        <w:t xml:space="preserve"> plan,</w:t>
      </w:r>
      <w:r w:rsidR="0097096B">
        <w:rPr>
          <w:rFonts w:ascii="Times" w:hAnsi="Times"/>
        </w:rPr>
        <w:t xml:space="preserve"> so</w:t>
      </w:r>
      <w:r w:rsidR="00F16DEF">
        <w:rPr>
          <w:rFonts w:ascii="Times" w:hAnsi="Times"/>
        </w:rPr>
        <w:t xml:space="preserve"> the Virginia Supreme Court delegated the process to two experts, Democrat-nominated Bernard </w:t>
      </w:r>
      <w:proofErr w:type="spellStart"/>
      <w:r w:rsidR="00F16DEF">
        <w:rPr>
          <w:rFonts w:ascii="Times" w:hAnsi="Times"/>
        </w:rPr>
        <w:t>Grofman</w:t>
      </w:r>
      <w:proofErr w:type="spellEnd"/>
      <w:r w:rsidR="00F16DEF">
        <w:rPr>
          <w:rFonts w:ascii="Times" w:hAnsi="Times"/>
        </w:rPr>
        <w:t xml:space="preserve"> and Republican-nominated Sean </w:t>
      </w:r>
      <w:proofErr w:type="spellStart"/>
      <w:r w:rsidR="00F16DEF">
        <w:rPr>
          <w:rFonts w:ascii="Times" w:hAnsi="Times"/>
        </w:rPr>
        <w:t>Trende</w:t>
      </w:r>
      <w:proofErr w:type="spellEnd"/>
      <w:r w:rsidR="00F16DEF">
        <w:rPr>
          <w:rFonts w:ascii="Times" w:hAnsi="Times"/>
        </w:rPr>
        <w:t>.</w:t>
      </w:r>
      <w:r w:rsidR="00F16DEF">
        <w:rPr>
          <w:rFonts w:ascii="Times" w:hAnsi="Times"/>
          <w:b/>
          <w:bCs/>
        </w:rPr>
        <w:t xml:space="preserve"> </w:t>
      </w:r>
      <w:r>
        <w:rPr>
          <w:rFonts w:ascii="Times" w:hAnsi="Times"/>
        </w:rPr>
        <w:t>T</w:t>
      </w:r>
      <w:r w:rsidR="00F16DEF">
        <w:rPr>
          <w:rFonts w:ascii="Times" w:hAnsi="Times"/>
        </w:rPr>
        <w:t>he Court accepted</w:t>
      </w:r>
      <w:r>
        <w:rPr>
          <w:rFonts w:ascii="Times" w:hAnsi="Times"/>
        </w:rPr>
        <w:t xml:space="preserve"> </w:t>
      </w:r>
      <w:r w:rsidR="00D90FC8">
        <w:rPr>
          <w:rFonts w:ascii="Times" w:hAnsi="Times"/>
        </w:rPr>
        <w:t>the Special Masters’</w:t>
      </w:r>
      <w:r>
        <w:rPr>
          <w:rFonts w:ascii="Times" w:hAnsi="Times"/>
        </w:rPr>
        <w:t xml:space="preserve"> map</w:t>
      </w:r>
      <w:r w:rsidR="00F16DEF">
        <w:rPr>
          <w:rFonts w:ascii="Times" w:hAnsi="Times"/>
        </w:rPr>
        <w:t xml:space="preserve"> in January 2022. </w:t>
      </w:r>
      <w:r w:rsidR="001276B0">
        <w:rPr>
          <w:rFonts w:ascii="Times" w:hAnsi="Times"/>
        </w:rPr>
        <w:t>Because the 2020 redistricting cycle in Virginia had</w:t>
      </w:r>
      <w:r w:rsidR="00F16DEF">
        <w:rPr>
          <w:rFonts w:ascii="Times" w:hAnsi="Times"/>
        </w:rPr>
        <w:t xml:space="preserve"> already</w:t>
      </w:r>
      <w:r w:rsidR="001276B0">
        <w:rPr>
          <w:rFonts w:ascii="Times" w:hAnsi="Times"/>
        </w:rPr>
        <w:t xml:space="preserve"> concluded </w:t>
      </w:r>
      <w:r w:rsidR="00F16DEF">
        <w:rPr>
          <w:rFonts w:ascii="Times" w:hAnsi="Times"/>
        </w:rPr>
        <w:t xml:space="preserve">by the time </w:t>
      </w:r>
      <w:r>
        <w:rPr>
          <w:rFonts w:ascii="Times" w:hAnsi="Times"/>
        </w:rPr>
        <w:t>the</w:t>
      </w:r>
      <w:r w:rsidR="00F16DEF">
        <w:rPr>
          <w:rFonts w:ascii="Times" w:hAnsi="Times"/>
        </w:rPr>
        <w:t xml:space="preserve"> plans</w:t>
      </w:r>
      <w:r>
        <w:rPr>
          <w:rFonts w:ascii="Times" w:hAnsi="Times"/>
        </w:rPr>
        <w:t xml:space="preserve"> in this paper</w:t>
      </w:r>
      <w:r w:rsidR="00F16DEF">
        <w:rPr>
          <w:rFonts w:ascii="Times" w:hAnsi="Times"/>
        </w:rPr>
        <w:t xml:space="preserve"> were drawn,</w:t>
      </w:r>
      <w:r w:rsidR="00A04588">
        <w:rPr>
          <w:rFonts w:ascii="Times" w:hAnsi="Times"/>
        </w:rPr>
        <w:t xml:space="preserve"> this paper</w:t>
      </w:r>
      <w:r w:rsidR="00F16DEF">
        <w:rPr>
          <w:rFonts w:ascii="Times" w:hAnsi="Times"/>
          <w:b/>
          <w:bCs/>
        </w:rPr>
        <w:t xml:space="preserve"> </w:t>
      </w:r>
      <w:r w:rsidR="00F16DEF">
        <w:rPr>
          <w:rFonts w:ascii="Times" w:hAnsi="Times"/>
        </w:rPr>
        <w:t xml:space="preserve">will compare </w:t>
      </w:r>
      <w:r w:rsidR="00D90FC8">
        <w:rPr>
          <w:rFonts w:ascii="Times" w:hAnsi="Times"/>
        </w:rPr>
        <w:t>its</w:t>
      </w:r>
      <w:r w:rsidR="00F16DEF">
        <w:rPr>
          <w:rFonts w:ascii="Times" w:hAnsi="Times"/>
        </w:rPr>
        <w:t xml:space="preserve"> three alternative plans</w:t>
      </w:r>
      <w:r w:rsidR="0097096B">
        <w:rPr>
          <w:rFonts w:ascii="Times" w:hAnsi="Times"/>
        </w:rPr>
        <w:t xml:space="preserve"> </w:t>
      </w:r>
      <w:r w:rsidR="008C2A95">
        <w:rPr>
          <w:rFonts w:ascii="Times" w:hAnsi="Times"/>
        </w:rPr>
        <w:t xml:space="preserve">both </w:t>
      </w:r>
      <w:r w:rsidR="00F16DEF">
        <w:rPr>
          <w:rFonts w:ascii="Times" w:hAnsi="Times"/>
        </w:rPr>
        <w:t xml:space="preserve">to </w:t>
      </w:r>
      <w:r w:rsidR="0097096B">
        <w:rPr>
          <w:rFonts w:ascii="Times" w:hAnsi="Times"/>
        </w:rPr>
        <w:t>the</w:t>
      </w:r>
      <w:r w:rsidR="00F16DEF">
        <w:rPr>
          <w:rFonts w:ascii="Times" w:hAnsi="Times"/>
        </w:rPr>
        <w:t xml:space="preserve"> </w:t>
      </w:r>
      <w:proofErr w:type="spellStart"/>
      <w:r w:rsidR="00F16DEF">
        <w:rPr>
          <w:rFonts w:ascii="Times" w:hAnsi="Times"/>
        </w:rPr>
        <w:t>Grofman-Trende</w:t>
      </w:r>
      <w:proofErr w:type="spellEnd"/>
      <w:r w:rsidR="00F16DEF">
        <w:rPr>
          <w:rFonts w:ascii="Times" w:hAnsi="Times"/>
        </w:rPr>
        <w:t xml:space="preserve"> plan </w:t>
      </w:r>
      <w:r>
        <w:rPr>
          <w:rFonts w:ascii="Times" w:hAnsi="Times"/>
        </w:rPr>
        <w:t>enacted</w:t>
      </w:r>
      <w:r w:rsidR="00F16DEF">
        <w:rPr>
          <w:rFonts w:ascii="Times" w:hAnsi="Times"/>
        </w:rPr>
        <w:t xml:space="preserve"> this cycle</w:t>
      </w:r>
      <w:r w:rsidR="008C2A95">
        <w:rPr>
          <w:rFonts w:ascii="Times" w:hAnsi="Times"/>
        </w:rPr>
        <w:t xml:space="preserve"> and the 2016 court-ordered plan in place before.</w:t>
      </w:r>
    </w:p>
    <w:p w14:paraId="74E4EEE3" w14:textId="77777777" w:rsidR="00E52CC2" w:rsidRDefault="00E52CC2" w:rsidP="00E52CC2">
      <w:pPr>
        <w:spacing w:line="480" w:lineRule="auto"/>
        <w:rPr>
          <w:rFonts w:ascii="Times" w:hAnsi="Times"/>
          <w:b/>
          <w:bCs/>
          <w:sz w:val="32"/>
          <w:szCs w:val="32"/>
        </w:rPr>
      </w:pPr>
      <w:r>
        <w:rPr>
          <w:rFonts w:ascii="Times" w:hAnsi="Times"/>
          <w:b/>
          <w:bCs/>
          <w:sz w:val="32"/>
          <w:szCs w:val="32"/>
        </w:rPr>
        <w:t>Federal and State Legal Compliance</w:t>
      </w:r>
    </w:p>
    <w:p w14:paraId="7837D060" w14:textId="4D63F416" w:rsidR="001E4700" w:rsidRPr="00EF13C0" w:rsidRDefault="001E4700" w:rsidP="00E52CC2">
      <w:pPr>
        <w:spacing w:line="480" w:lineRule="auto"/>
        <w:rPr>
          <w:rFonts w:ascii="Times" w:hAnsi="Times"/>
          <w:b/>
          <w:bCs/>
          <w:sz w:val="32"/>
          <w:szCs w:val="32"/>
        </w:rPr>
      </w:pPr>
      <w:r w:rsidRPr="00EF13C0">
        <w:rPr>
          <w:rFonts w:ascii="Times" w:hAnsi="Times"/>
          <w:b/>
          <w:bCs/>
        </w:rPr>
        <w:t>Equal Representation: Article I § 2 of the United States Constitution</w:t>
      </w:r>
      <w:r w:rsidR="00776715">
        <w:rPr>
          <w:rFonts w:ascii="Times" w:hAnsi="Times"/>
          <w:b/>
          <w:bCs/>
        </w:rPr>
        <w:t xml:space="preserve"> and Code of Virginia</w:t>
      </w:r>
    </w:p>
    <w:p w14:paraId="1041F301" w14:textId="2B9446E8" w:rsidR="001E4700" w:rsidRDefault="001E4700" w:rsidP="001E4700">
      <w:pPr>
        <w:spacing w:line="480" w:lineRule="auto"/>
        <w:ind w:firstLine="720"/>
      </w:pPr>
      <w:r>
        <w:t>Both the Constitution and the Code of Virginia impose equal representation constraints. Congressional districts must have “. . . nearly as practicable” equal populations.</w:t>
      </w:r>
      <w:r w:rsidR="00776715">
        <w:rPr>
          <w:rStyle w:val="FootnoteReference"/>
        </w:rPr>
        <w:footnoteReference w:id="11"/>
      </w:r>
      <w:r w:rsidR="00776715">
        <w:t xml:space="preserve"> </w:t>
      </w:r>
      <w:r>
        <w:t>Similarly, Virginia law requires that “[d]</w:t>
      </w:r>
      <w:proofErr w:type="spellStart"/>
      <w:r>
        <w:t>istricts</w:t>
      </w:r>
      <w:proofErr w:type="spellEnd"/>
      <w:r>
        <w:t xml:space="preserve"> shall be so constituted as to give, as nearly as is practicable, representation in proportion to the population of the district.</w:t>
      </w:r>
      <w:r>
        <w:rPr>
          <w:rStyle w:val="FootnoteReference"/>
        </w:rPr>
        <w:footnoteReference w:id="12"/>
      </w:r>
      <w:r>
        <w:t xml:space="preserve"> </w:t>
      </w:r>
    </w:p>
    <w:p w14:paraId="4D143837" w14:textId="267E6D04" w:rsidR="001E4700" w:rsidRDefault="009B546B" w:rsidP="009B546B">
      <w:pPr>
        <w:spacing w:line="480" w:lineRule="auto"/>
        <w:ind w:firstLine="720"/>
      </w:pPr>
      <w:r>
        <w:t>I</w:t>
      </w:r>
      <w:r w:rsidR="001E4700">
        <w:t xml:space="preserve">n </w:t>
      </w:r>
      <w:r>
        <w:t>all three</w:t>
      </w:r>
      <w:r w:rsidR="001E4700">
        <w:t xml:space="preserve"> plan</w:t>
      </w:r>
      <w:r>
        <w:t>s presented in this paper, all districts</w:t>
      </w:r>
      <w:r w:rsidR="001E4700">
        <w:t xml:space="preserve"> are compliant with one-person, one-vote. Based on the 2020 census of Virginia’s population, the ideal size of each of the eleven districts is 784,672 people.</w:t>
      </w:r>
      <w:r w:rsidR="001E4700">
        <w:rPr>
          <w:b/>
          <w:bCs/>
        </w:rPr>
        <w:t xml:space="preserve"> </w:t>
      </w:r>
      <w:r w:rsidR="001E4700">
        <w:t>As such, all districts within th</w:t>
      </w:r>
      <w:r>
        <w:t>ese</w:t>
      </w:r>
      <w:r w:rsidR="001E4700">
        <w:t xml:space="preserve"> plan</w:t>
      </w:r>
      <w:r>
        <w:t>s</w:t>
      </w:r>
      <w:r w:rsidR="001E4700">
        <w:t xml:space="preserve"> were kept in a range between </w:t>
      </w:r>
      <w:r w:rsidR="001E4700">
        <w:lastRenderedPageBreak/>
        <w:t>784,671 and</w:t>
      </w:r>
      <w:r w:rsidR="001E4700">
        <w:rPr>
          <w:b/>
          <w:bCs/>
        </w:rPr>
        <w:t xml:space="preserve"> </w:t>
      </w:r>
      <w:r w:rsidR="001E4700">
        <w:t>784,673</w:t>
      </w:r>
      <w:r>
        <w:t xml:space="preserve">. </w:t>
      </w:r>
      <w:r w:rsidR="00583FCE">
        <w:t xml:space="preserve">In other words, each plan contains no more than a </w:t>
      </w:r>
      <w:r w:rsidR="007521EB">
        <w:t>one-person</w:t>
      </w:r>
      <w:r w:rsidR="00583FCE">
        <w:t xml:space="preserve"> deviation between districts.</w:t>
      </w:r>
      <w:r w:rsidR="001E4700">
        <w:t xml:space="preserve"> In this respect, this plan is superior to the </w:t>
      </w:r>
      <w:proofErr w:type="spellStart"/>
      <w:r w:rsidR="001E4700">
        <w:t>Grofman-Trende</w:t>
      </w:r>
      <w:proofErr w:type="spellEnd"/>
      <w:r w:rsidR="001E4700">
        <w:t xml:space="preserve"> plan, which deviates from the ideal value in every district by anywhere from 306 to 1,797 people.</w:t>
      </w:r>
    </w:p>
    <w:p w14:paraId="45639CEF" w14:textId="77777777" w:rsidR="00186725" w:rsidRDefault="001E4700" w:rsidP="00186725">
      <w:pPr>
        <w:spacing w:line="480" w:lineRule="auto"/>
        <w:jc w:val="both"/>
        <w:rPr>
          <w:rFonts w:ascii="Times" w:hAnsi="Times"/>
          <w:b/>
          <w:bCs/>
        </w:rPr>
      </w:pPr>
      <w:r w:rsidRPr="00583FCE">
        <w:rPr>
          <w:rFonts w:ascii="Times" w:hAnsi="Times"/>
          <w:b/>
          <w:bCs/>
        </w:rPr>
        <w:t>Equal Protection and Ability-to-Elect Districts: 14</w:t>
      </w:r>
      <w:r w:rsidRPr="00583FCE">
        <w:rPr>
          <w:rFonts w:ascii="Times" w:hAnsi="Times"/>
          <w:b/>
          <w:bCs/>
          <w:vertAlign w:val="superscript"/>
        </w:rPr>
        <w:t>th</w:t>
      </w:r>
      <w:r w:rsidRPr="00583FCE">
        <w:rPr>
          <w:rFonts w:ascii="Times" w:hAnsi="Times"/>
          <w:b/>
          <w:bCs/>
        </w:rPr>
        <w:t xml:space="preserve"> Amendment, VRA § 2, and Code of Virginia § 24.2-304.04</w:t>
      </w:r>
    </w:p>
    <w:p w14:paraId="2D2CF6C0" w14:textId="0A00DBA9" w:rsidR="00455BEA" w:rsidRDefault="001E4700" w:rsidP="005F5C4A">
      <w:pPr>
        <w:spacing w:line="480" w:lineRule="auto"/>
        <w:ind w:firstLine="720"/>
        <w:jc w:val="both"/>
      </w:pPr>
      <w:r w:rsidRPr="00D23445">
        <w:rPr>
          <w:rFonts w:ascii="Times" w:hAnsi="Times"/>
        </w:rPr>
        <w:t>The Code of Virginia § 24.2-304.04 Clause 3 mandates compliance with the 14</w:t>
      </w:r>
      <w:r w:rsidRPr="00D23445">
        <w:rPr>
          <w:rFonts w:ascii="Times" w:hAnsi="Times"/>
          <w:vertAlign w:val="superscript"/>
        </w:rPr>
        <w:t>th</w:t>
      </w:r>
      <w:r w:rsidRPr="00D23445">
        <w:rPr>
          <w:rFonts w:ascii="Times" w:hAnsi="Times"/>
        </w:rPr>
        <w:t xml:space="preserve"> Amendment of the Constitution, the Voting Rights Act of 1965 Section 2, and “relevant judicial decisions relating to racial and ethnic fairness.” </w:t>
      </w:r>
      <w:r w:rsidR="00186725">
        <w:rPr>
          <w:rFonts w:ascii="TimesNewRomanPSMT" w:hAnsi="TimesNewRomanPSMT"/>
        </w:rPr>
        <w:t>The Equal Protection Clause of the 14th Amendment guards against vote dilution or racial gerrymandering</w:t>
      </w:r>
      <w:r w:rsidR="008F6683">
        <w:rPr>
          <w:rFonts w:ascii="TimesNewRomanPSMT" w:hAnsi="TimesNewRomanPSMT"/>
        </w:rPr>
        <w:t>.</w:t>
      </w:r>
      <w:r w:rsidR="008F6683">
        <w:rPr>
          <w:rStyle w:val="FootnoteReference"/>
          <w:rFonts w:ascii="TimesNewRomanPSMT" w:hAnsi="TimesNewRomanPSMT"/>
        </w:rPr>
        <w:footnoteReference w:id="13"/>
      </w:r>
      <w:r w:rsidR="00186725">
        <w:rPr>
          <w:rFonts w:ascii="TimesNewRomanPSMT" w:hAnsi="TimesNewRomanPSMT"/>
        </w:rPr>
        <w:t xml:space="preserve"> </w:t>
      </w:r>
      <w:r w:rsidR="008F5190">
        <w:rPr>
          <w:rFonts w:ascii="TimesNewRomanPSMT" w:hAnsi="TimesNewRomanPSMT"/>
        </w:rPr>
        <w:t>R</w:t>
      </w:r>
      <w:r w:rsidR="00186725">
        <w:rPr>
          <w:rFonts w:ascii="TimesNewRomanPSMT" w:hAnsi="TimesNewRomanPSMT"/>
        </w:rPr>
        <w:t xml:space="preserve">ace can </w:t>
      </w:r>
      <w:r w:rsidR="008F5190">
        <w:rPr>
          <w:rFonts w:ascii="TimesNewRomanPSMT" w:hAnsi="TimesNewRomanPSMT"/>
        </w:rPr>
        <w:t>only rarely</w:t>
      </w:r>
      <w:r w:rsidR="00186725">
        <w:rPr>
          <w:rFonts w:ascii="TimesNewRomanPSMT" w:hAnsi="TimesNewRomanPSMT"/>
        </w:rPr>
        <w:t xml:space="preserve"> be </w:t>
      </w:r>
      <w:r w:rsidR="006B4D32">
        <w:rPr>
          <w:rFonts w:ascii="TimesNewRomanPSMT" w:hAnsi="TimesNewRomanPSMT"/>
        </w:rPr>
        <w:t>used as the</w:t>
      </w:r>
      <w:r w:rsidR="00186725">
        <w:rPr>
          <w:rFonts w:ascii="TimesNewRomanPSMT" w:hAnsi="TimesNewRomanPSMT"/>
        </w:rPr>
        <w:t xml:space="preserve"> “predominant factor”</w:t>
      </w:r>
      <w:r w:rsidR="008F5190">
        <w:rPr>
          <w:rFonts w:ascii="TimesNewRomanPSMT" w:hAnsi="TimesNewRomanPSMT"/>
        </w:rPr>
        <w:t xml:space="preserve"> in redistricting</w:t>
      </w:r>
      <w:r w:rsidR="006B4D32">
        <w:rPr>
          <w:rFonts w:ascii="TimesNewRomanPSMT" w:hAnsi="TimesNewRomanPSMT"/>
        </w:rPr>
        <w:t xml:space="preserve">, </w:t>
      </w:r>
      <w:r w:rsidR="00766327">
        <w:rPr>
          <w:rFonts w:ascii="TimesNewRomanPSMT" w:hAnsi="TimesNewRomanPSMT"/>
        </w:rPr>
        <w:t xml:space="preserve">meaning race cannot ordinarily be used over </w:t>
      </w:r>
      <w:r w:rsidR="00766327">
        <w:rPr>
          <w:rFonts w:ascii="TimesNewRomanPSMT" w:hAnsi="TimesNewRomanPSMT"/>
        </w:rPr>
        <w:t>race-neutral redistricting principles</w:t>
      </w:r>
      <w:r w:rsidR="008F6683">
        <w:rPr>
          <w:rFonts w:ascii="TimesNewRomanPSMT" w:hAnsi="TimesNewRomanPSMT"/>
        </w:rPr>
        <w:t>.</w:t>
      </w:r>
      <w:r w:rsidR="008F6683">
        <w:rPr>
          <w:rStyle w:val="FootnoteReference"/>
          <w:rFonts w:ascii="TimesNewRomanPSMT" w:hAnsi="TimesNewRomanPSMT"/>
        </w:rPr>
        <w:footnoteReference w:id="14"/>
      </w:r>
      <w:r w:rsidR="008F6683">
        <w:t xml:space="preserve"> </w:t>
      </w:r>
      <w:r w:rsidR="00D25DB2">
        <w:t>In the case that</w:t>
      </w:r>
      <w:r>
        <w:t xml:space="preserve"> race is the “predominant factor” </w:t>
      </w:r>
      <w:r w:rsidR="00D25DB2">
        <w:t>used in</w:t>
      </w:r>
      <w:r>
        <w:t xml:space="preserve"> redistricting</w:t>
      </w:r>
      <w:r w:rsidR="00D25DB2">
        <w:t>, a court will apply strict scrutiny in reviewing the legality of that map</w:t>
      </w:r>
      <w:r>
        <w:t>.</w:t>
      </w:r>
    </w:p>
    <w:p w14:paraId="14761965" w14:textId="4B7B8229" w:rsidR="006D523E" w:rsidRDefault="00455BEA" w:rsidP="009335D1">
      <w:pPr>
        <w:spacing w:line="480" w:lineRule="auto"/>
        <w:ind w:firstLine="720"/>
        <w:jc w:val="both"/>
        <w:rPr>
          <w:rFonts w:ascii="Times" w:hAnsi="Times"/>
        </w:rPr>
      </w:pPr>
      <w:r>
        <w:t xml:space="preserve">Separately, VRA </w:t>
      </w:r>
      <w:r w:rsidR="005F5C4A">
        <w:rPr>
          <w:rFonts w:ascii="TimesNewRomanPSMT" w:hAnsi="TimesNewRomanPSMT"/>
        </w:rPr>
        <w:t xml:space="preserve">Section 2 violation </w:t>
      </w:r>
      <w:r w:rsidR="0095047A">
        <w:rPr>
          <w:rFonts w:ascii="TimesNewRomanPSMT" w:hAnsi="TimesNewRomanPSMT"/>
        </w:rPr>
        <w:t>enables</w:t>
      </w:r>
      <w:r w:rsidR="005F5C4A">
        <w:rPr>
          <w:rFonts w:ascii="TimesNewRomanPSMT" w:hAnsi="TimesNewRomanPSMT"/>
        </w:rPr>
        <w:t xml:space="preserve"> protected classes</w:t>
      </w:r>
      <w:r w:rsidR="00156823">
        <w:rPr>
          <w:rFonts w:ascii="TimesNewRomanPSMT" w:hAnsi="TimesNewRomanPSMT"/>
        </w:rPr>
        <w:t xml:space="preserve"> to</w:t>
      </w:r>
      <w:r w:rsidR="005F5C4A">
        <w:rPr>
          <w:rFonts w:ascii="TimesNewRomanPSMT" w:hAnsi="TimesNewRomanPSMT"/>
        </w:rPr>
        <w:t xml:space="preserve"> have</w:t>
      </w:r>
      <w:r w:rsidR="00156823">
        <w:rPr>
          <w:rFonts w:ascii="TimesNewRomanPSMT" w:hAnsi="TimesNewRomanPSMT"/>
        </w:rPr>
        <w:t xml:space="preserve"> the same </w:t>
      </w:r>
      <w:r w:rsidR="005F5C4A">
        <w:rPr>
          <w:rFonts w:ascii="TimesNewRomanPSMT" w:hAnsi="TimesNewRomanPSMT"/>
        </w:rPr>
        <w:t xml:space="preserve">opportunity </w:t>
      </w:r>
      <w:r w:rsidR="00156823">
        <w:rPr>
          <w:rFonts w:ascii="TimesNewRomanPSMT" w:hAnsi="TimesNewRomanPSMT"/>
        </w:rPr>
        <w:t>as</w:t>
      </w:r>
      <w:r w:rsidR="005F5C4A">
        <w:rPr>
          <w:rFonts w:ascii="TimesNewRomanPSMT" w:hAnsi="TimesNewRomanPSMT"/>
        </w:rPr>
        <w:t xml:space="preserve"> </w:t>
      </w:r>
      <w:r w:rsidR="00156823">
        <w:rPr>
          <w:rFonts w:ascii="TimesNewRomanPSMT" w:hAnsi="TimesNewRomanPSMT"/>
        </w:rPr>
        <w:t>“</w:t>
      </w:r>
      <w:r w:rsidR="005F5C4A">
        <w:rPr>
          <w:rFonts w:ascii="TimesNewRomanPSMT" w:hAnsi="TimesNewRomanPSMT"/>
        </w:rPr>
        <w:t>other members of the electorate to participate in the political process and to elect representatives of their choice.</w:t>
      </w:r>
      <w:r w:rsidR="008F6683">
        <w:rPr>
          <w:rFonts w:ascii="TimesNewRomanPSMT" w:hAnsi="TimesNewRomanPSMT"/>
        </w:rPr>
        <w:t>”</w:t>
      </w:r>
      <w:r w:rsidR="008F6683">
        <w:rPr>
          <w:rStyle w:val="FootnoteReference"/>
          <w:rFonts w:ascii="TimesNewRomanPSMT" w:hAnsi="TimesNewRomanPSMT"/>
        </w:rPr>
        <w:footnoteReference w:id="15"/>
      </w:r>
      <w:r w:rsidR="008F6683" w:rsidRPr="00D23445">
        <w:rPr>
          <w:rFonts w:ascii="Times" w:hAnsi="Times"/>
        </w:rPr>
        <w:t xml:space="preserve"> </w:t>
      </w:r>
      <w:r w:rsidR="00AC0813" w:rsidRPr="00D23445">
        <w:rPr>
          <w:rFonts w:ascii="Times" w:hAnsi="Times"/>
        </w:rPr>
        <w:t xml:space="preserve">The </w:t>
      </w:r>
      <w:r w:rsidR="00AC0813">
        <w:rPr>
          <w:rFonts w:ascii="Times" w:hAnsi="Times"/>
        </w:rPr>
        <w:t>Virginia Code</w:t>
      </w:r>
      <w:r w:rsidR="00AC0813" w:rsidRPr="00D23445">
        <w:rPr>
          <w:rFonts w:ascii="Times" w:hAnsi="Times"/>
        </w:rPr>
        <w:t xml:space="preserve"> </w:t>
      </w:r>
      <w:r w:rsidR="00AC0813">
        <w:rPr>
          <w:rFonts w:ascii="Times" w:hAnsi="Times"/>
        </w:rPr>
        <w:t>similarly</w:t>
      </w:r>
      <w:r w:rsidR="00AC0813" w:rsidRPr="00D23445">
        <w:rPr>
          <w:rFonts w:ascii="Times" w:hAnsi="Times"/>
        </w:rPr>
        <w:t xml:space="preserve"> requires that “[d]</w:t>
      </w:r>
      <w:proofErr w:type="spellStart"/>
      <w:r w:rsidR="00AC0813" w:rsidRPr="00D23445">
        <w:rPr>
          <w:rFonts w:ascii="Times" w:hAnsi="Times"/>
        </w:rPr>
        <w:t>istricts</w:t>
      </w:r>
      <w:proofErr w:type="spellEnd"/>
      <w:r w:rsidR="00AC0813" w:rsidRPr="00D23445">
        <w:rPr>
          <w:rFonts w:ascii="Times" w:hAnsi="Times"/>
        </w:rPr>
        <w:t xml:space="preserve"> shall be drawn to give racial and language minorities an equal opportunity to participate in the political process and shall not dilute or diminish their ability to elect candidates of choice either alone or in coalition with others.”</w:t>
      </w:r>
      <w:r w:rsidR="00AC0813">
        <w:rPr>
          <w:rStyle w:val="FootnoteReference"/>
        </w:rPr>
        <w:footnoteReference w:id="16"/>
      </w:r>
      <w:r w:rsidR="009335D1">
        <w:rPr>
          <w:rFonts w:ascii="Times" w:hAnsi="Times"/>
        </w:rPr>
        <w:t xml:space="preserve"> VRA </w:t>
      </w:r>
      <w:r w:rsidR="005F5C4A">
        <w:rPr>
          <w:rFonts w:ascii="TimesNewRomanPSMT" w:hAnsi="TimesNewRomanPSMT"/>
        </w:rPr>
        <w:t xml:space="preserve">Section 2 </w:t>
      </w:r>
      <w:r w:rsidR="009335D1">
        <w:rPr>
          <w:rFonts w:ascii="TimesNewRomanPSMT" w:hAnsi="TimesNewRomanPSMT"/>
        </w:rPr>
        <w:t xml:space="preserve">is triggered when three </w:t>
      </w:r>
      <w:proofErr w:type="spellStart"/>
      <w:r w:rsidR="005F5C4A">
        <w:rPr>
          <w:rFonts w:ascii="TimesNewRomanPS" w:hAnsi="TimesNewRomanPS"/>
          <w:i/>
          <w:iCs/>
        </w:rPr>
        <w:t>Gingles</w:t>
      </w:r>
      <w:proofErr w:type="spellEnd"/>
      <w:r w:rsidR="005F5C4A">
        <w:rPr>
          <w:rFonts w:ascii="TimesNewRomanPS" w:hAnsi="TimesNewRomanPS"/>
          <w:i/>
          <w:iCs/>
        </w:rPr>
        <w:t xml:space="preserve"> </w:t>
      </w:r>
      <w:r w:rsidR="00905F98">
        <w:rPr>
          <w:rFonts w:ascii="TimesNewRomanPS" w:hAnsi="TimesNewRomanPS"/>
        </w:rPr>
        <w:t>“</w:t>
      </w:r>
      <w:r w:rsidR="005F5C4A">
        <w:rPr>
          <w:rFonts w:ascii="TimesNewRomanPSMT" w:hAnsi="TimesNewRomanPSMT"/>
        </w:rPr>
        <w:t>prongs</w:t>
      </w:r>
      <w:r w:rsidR="00905F98">
        <w:rPr>
          <w:rFonts w:ascii="TimesNewRomanPSMT" w:hAnsi="TimesNewRomanPSMT"/>
        </w:rPr>
        <w:t>”</w:t>
      </w:r>
      <w:r w:rsidR="009335D1">
        <w:rPr>
          <w:rFonts w:ascii="TimesNewRomanPSMT" w:hAnsi="TimesNewRomanPSMT"/>
        </w:rPr>
        <w:t xml:space="preserve"> are met.</w:t>
      </w:r>
      <w:r w:rsidR="008F6683">
        <w:rPr>
          <w:rStyle w:val="FootnoteReference"/>
          <w:rFonts w:ascii="TimesNewRomanPSMT" w:hAnsi="TimesNewRomanPSMT"/>
        </w:rPr>
        <w:footnoteReference w:id="17"/>
      </w:r>
      <w:r w:rsidR="008F6683">
        <w:rPr>
          <w:rFonts w:ascii="Times" w:hAnsi="Times"/>
        </w:rPr>
        <w:t xml:space="preserve"> </w:t>
      </w:r>
      <w:r w:rsidR="006D523E">
        <w:rPr>
          <w:rFonts w:ascii="Times" w:hAnsi="Times"/>
        </w:rPr>
        <w:t xml:space="preserve">Under </w:t>
      </w:r>
      <w:proofErr w:type="spellStart"/>
      <w:r w:rsidR="006D523E">
        <w:rPr>
          <w:rFonts w:ascii="Times" w:hAnsi="Times"/>
          <w:i/>
          <w:iCs/>
        </w:rPr>
        <w:t>Gingles</w:t>
      </w:r>
      <w:proofErr w:type="spellEnd"/>
      <w:r w:rsidR="006D523E">
        <w:rPr>
          <w:rFonts w:ascii="Times" w:hAnsi="Times"/>
          <w:i/>
          <w:iCs/>
        </w:rPr>
        <w:t xml:space="preserve">, </w:t>
      </w:r>
      <w:r w:rsidR="006D523E">
        <w:rPr>
          <w:rFonts w:ascii="Times" w:hAnsi="Times"/>
        </w:rPr>
        <w:t xml:space="preserve">a minority community must be “sufficiently large and geographically compact to constitute a majority in a single-member district,” “politically cohesive,” and the white majority </w:t>
      </w:r>
      <w:r w:rsidR="006D523E">
        <w:rPr>
          <w:rFonts w:ascii="Times" w:hAnsi="Times"/>
        </w:rPr>
        <w:lastRenderedPageBreak/>
        <w:t>must vote sufficiently as a bloc to enable it</w:t>
      </w:r>
      <w:r w:rsidR="00AD622C">
        <w:rPr>
          <w:rFonts w:ascii="Times" w:hAnsi="Times"/>
        </w:rPr>
        <w:t xml:space="preserve"> </w:t>
      </w:r>
      <w:r w:rsidR="006D523E">
        <w:rPr>
          <w:rFonts w:ascii="Times" w:hAnsi="Times"/>
        </w:rPr>
        <w:t>. . . to defeat the minority's preferred candidate.”</w:t>
      </w:r>
      <w:r w:rsidR="006D523E">
        <w:rPr>
          <w:rStyle w:val="FootnoteReference"/>
          <w:rFonts w:ascii="Times" w:hAnsi="Times"/>
        </w:rPr>
        <w:footnoteReference w:id="18"/>
      </w:r>
      <w:r w:rsidR="006D523E">
        <w:rPr>
          <w:rFonts w:ascii="Times" w:hAnsi="Times"/>
        </w:rPr>
        <w:t xml:space="preserve"> Where these criteria met, and </w:t>
      </w:r>
      <w:r w:rsidR="00326C1E">
        <w:rPr>
          <w:rFonts w:ascii="Times" w:hAnsi="Times"/>
        </w:rPr>
        <w:t xml:space="preserve">some “Senate Factors” establish </w:t>
      </w:r>
      <w:r w:rsidR="00C225A5">
        <w:rPr>
          <w:rFonts w:ascii="Times" w:hAnsi="Times"/>
        </w:rPr>
        <w:t xml:space="preserve">whether </w:t>
      </w:r>
      <w:r w:rsidR="00905F98">
        <w:rPr>
          <w:rFonts w:ascii="Times" w:hAnsi="Times"/>
        </w:rPr>
        <w:t xml:space="preserve">the </w:t>
      </w:r>
      <w:r w:rsidR="00C225A5">
        <w:rPr>
          <w:rFonts w:ascii="Times" w:hAnsi="Times"/>
        </w:rPr>
        <w:t>practices</w:t>
      </w:r>
      <w:r w:rsidR="00905F98">
        <w:rPr>
          <w:rFonts w:ascii="Times" w:hAnsi="Times"/>
        </w:rPr>
        <w:t xml:space="preserve"> in question</w:t>
      </w:r>
      <w:r w:rsidR="00C225A5">
        <w:rPr>
          <w:rFonts w:ascii="Times" w:hAnsi="Times"/>
        </w:rPr>
        <w:t xml:space="preserve"> result in prohibited discrimination</w:t>
      </w:r>
      <w:r w:rsidR="005A17FD">
        <w:rPr>
          <w:rFonts w:ascii="Times" w:hAnsi="Times"/>
        </w:rPr>
        <w:t>,</w:t>
      </w:r>
      <w:r w:rsidR="007E25EE">
        <w:rPr>
          <w:rStyle w:val="FootnoteReference"/>
          <w:rFonts w:ascii="Times" w:hAnsi="Times"/>
        </w:rPr>
        <w:footnoteReference w:id="19"/>
      </w:r>
      <w:r w:rsidR="00B32FF8">
        <w:rPr>
          <w:rFonts w:ascii="Times" w:hAnsi="Times"/>
        </w:rPr>
        <w:t xml:space="preserve"> race may be used as a predominant </w:t>
      </w:r>
      <w:r w:rsidR="007E25EE">
        <w:rPr>
          <w:rFonts w:ascii="Times" w:hAnsi="Times"/>
        </w:rPr>
        <w:t>factor</w:t>
      </w:r>
      <w:r w:rsidR="00B32FF8">
        <w:rPr>
          <w:rFonts w:ascii="Times" w:hAnsi="Times"/>
        </w:rPr>
        <w:t>, so long as it</w:t>
      </w:r>
      <w:r w:rsidR="007E25EE">
        <w:rPr>
          <w:rFonts w:ascii="Times" w:hAnsi="Times"/>
        </w:rPr>
        <w:t>s use</w:t>
      </w:r>
      <w:r w:rsidR="00B32FF8">
        <w:rPr>
          <w:rFonts w:ascii="Times" w:hAnsi="Times"/>
        </w:rPr>
        <w:t xml:space="preserve"> is narrowly tailored to comply with the VRA</w:t>
      </w:r>
      <w:r w:rsidR="00AC3F3B">
        <w:rPr>
          <w:rFonts w:ascii="Times" w:hAnsi="Times"/>
        </w:rPr>
        <w:t>.</w:t>
      </w:r>
    </w:p>
    <w:p w14:paraId="4AD2791C" w14:textId="15AD1448" w:rsidR="003674E1" w:rsidRPr="00DB416D" w:rsidRDefault="00AE0D27" w:rsidP="00DB416D">
      <w:pPr>
        <w:spacing w:line="480" w:lineRule="auto"/>
        <w:ind w:firstLine="720"/>
        <w:jc w:val="both"/>
      </w:pPr>
      <w:r>
        <w:rPr>
          <w:rFonts w:ascii="Times" w:hAnsi="Times"/>
        </w:rPr>
        <w:t>A</w:t>
      </w:r>
      <w:r w:rsidRPr="00AE0D27">
        <w:rPr>
          <w:rFonts w:ascii="Times" w:hAnsi="Times"/>
        </w:rPr>
        <w:t>s in</w:t>
      </w:r>
      <w:r w:rsidR="00FA5ADA">
        <w:rPr>
          <w:rFonts w:ascii="Times" w:hAnsi="Times"/>
        </w:rPr>
        <w:t xml:space="preserve"> North Carolina in</w:t>
      </w:r>
      <w:r w:rsidRPr="00AE0D27">
        <w:rPr>
          <w:rFonts w:ascii="Times" w:hAnsi="Times"/>
        </w:rPr>
        <w:t xml:space="preserve"> </w:t>
      </w:r>
      <w:proofErr w:type="spellStart"/>
      <w:r w:rsidRPr="00AE0D27">
        <w:rPr>
          <w:rFonts w:ascii="Times" w:hAnsi="Times"/>
          <w:i/>
          <w:iCs/>
        </w:rPr>
        <w:t>Gingles</w:t>
      </w:r>
      <w:proofErr w:type="spellEnd"/>
      <w:r w:rsidRPr="00AE0D27">
        <w:rPr>
          <w:rFonts w:ascii="Times" w:hAnsi="Times"/>
        </w:rPr>
        <w:t xml:space="preserve">, </w:t>
      </w:r>
      <w:r>
        <w:rPr>
          <w:rFonts w:ascii="Times" w:hAnsi="Times"/>
        </w:rPr>
        <w:t xml:space="preserve">Virginia has a history of </w:t>
      </w:r>
      <w:r w:rsidRPr="00AE0D27">
        <w:rPr>
          <w:rFonts w:ascii="Times" w:hAnsi="Times"/>
        </w:rPr>
        <w:t xml:space="preserve">discrimination </w:t>
      </w:r>
      <w:r w:rsidR="00FA5ADA">
        <w:rPr>
          <w:rFonts w:ascii="Times" w:hAnsi="Times"/>
        </w:rPr>
        <w:t>against Black people in nearly every arena, including,</w:t>
      </w:r>
      <w:r w:rsidR="00541C09">
        <w:rPr>
          <w:rFonts w:ascii="Times" w:hAnsi="Times"/>
        </w:rPr>
        <w:t xml:space="preserve"> but extending</w:t>
      </w:r>
      <w:r w:rsidR="00FA5ADA">
        <w:rPr>
          <w:rFonts w:ascii="Times" w:hAnsi="Times"/>
        </w:rPr>
        <w:t xml:space="preserve"> well</w:t>
      </w:r>
      <w:r w:rsidR="00541C09">
        <w:rPr>
          <w:rFonts w:ascii="Times" w:hAnsi="Times"/>
        </w:rPr>
        <w:t xml:space="preserve"> </w:t>
      </w:r>
      <w:r w:rsidR="00BF5653">
        <w:rPr>
          <w:rFonts w:ascii="Times" w:hAnsi="Times"/>
        </w:rPr>
        <w:t>beyond</w:t>
      </w:r>
      <w:r w:rsidR="00FA5ADA">
        <w:rPr>
          <w:rFonts w:ascii="Times" w:hAnsi="Times"/>
        </w:rPr>
        <w:t>,</w:t>
      </w:r>
      <w:r w:rsidRPr="00AE0D27">
        <w:rPr>
          <w:rFonts w:ascii="Times" w:hAnsi="Times"/>
        </w:rPr>
        <w:t xml:space="preserve"> voting</w:t>
      </w:r>
      <w:r w:rsidR="00FA5ADA">
        <w:rPr>
          <w:rFonts w:ascii="Times" w:hAnsi="Times"/>
        </w:rPr>
        <w:t>. Specifically, e</w:t>
      </w:r>
      <w:r>
        <w:rPr>
          <w:rFonts w:ascii="Times" w:hAnsi="Times"/>
        </w:rPr>
        <w:t xml:space="preserve">ducation, employment, </w:t>
      </w:r>
      <w:r w:rsidR="00FB2452">
        <w:rPr>
          <w:rFonts w:ascii="Times" w:hAnsi="Times"/>
        </w:rPr>
        <w:t>housing,</w:t>
      </w:r>
      <w:r>
        <w:rPr>
          <w:rFonts w:ascii="Times" w:hAnsi="Times"/>
        </w:rPr>
        <w:t xml:space="preserve"> and healthcare</w:t>
      </w:r>
      <w:r w:rsidR="00FA5ADA">
        <w:rPr>
          <w:rFonts w:ascii="Times" w:hAnsi="Times"/>
        </w:rPr>
        <w:t xml:space="preserve"> have all been areas in which Black Virginians experienced state-led discrimination</w:t>
      </w:r>
      <w:r w:rsidR="00541C09">
        <w:rPr>
          <w:rFonts w:ascii="Times" w:hAnsi="Times"/>
        </w:rPr>
        <w:t>.</w:t>
      </w:r>
      <w:r w:rsidR="00541C09" w:rsidRPr="00541C09">
        <w:rPr>
          <w:rStyle w:val="FootnoteReference"/>
          <w:rFonts w:ascii="Times" w:hAnsi="Times"/>
        </w:rPr>
        <w:t xml:space="preserve"> </w:t>
      </w:r>
      <w:r w:rsidR="00541C09">
        <w:rPr>
          <w:rStyle w:val="FootnoteReference"/>
          <w:rFonts w:ascii="Times" w:hAnsi="Times"/>
        </w:rPr>
        <w:footnoteReference w:id="20"/>
      </w:r>
      <w:r w:rsidR="00695264">
        <w:rPr>
          <w:rFonts w:ascii="Times" w:hAnsi="Times"/>
        </w:rPr>
        <w:t xml:space="preserve"> </w:t>
      </w:r>
      <w:r w:rsidR="00541C09">
        <w:rPr>
          <w:rFonts w:ascii="Times" w:hAnsi="Times"/>
        </w:rPr>
        <w:t>As such,</w:t>
      </w:r>
      <w:r w:rsidR="00695264">
        <w:rPr>
          <w:rFonts w:ascii="Times" w:hAnsi="Times"/>
        </w:rPr>
        <w:t xml:space="preserve"> the Senate Factors are present</w:t>
      </w:r>
      <w:r w:rsidR="00A43D4E">
        <w:rPr>
          <w:rFonts w:ascii="Times" w:hAnsi="Times"/>
        </w:rPr>
        <w:t xml:space="preserve">. </w:t>
      </w:r>
      <w:r w:rsidR="00775A8F">
        <w:rPr>
          <w:rFonts w:ascii="Times" w:hAnsi="Times"/>
        </w:rPr>
        <w:t xml:space="preserve">As are the </w:t>
      </w:r>
      <w:proofErr w:type="spellStart"/>
      <w:r w:rsidR="00775A8F" w:rsidRPr="00A43D4E">
        <w:rPr>
          <w:rFonts w:ascii="Times" w:hAnsi="Times"/>
          <w:i/>
          <w:iCs/>
        </w:rPr>
        <w:t>Gingles</w:t>
      </w:r>
      <w:proofErr w:type="spellEnd"/>
      <w:r w:rsidR="00775A8F">
        <w:rPr>
          <w:rFonts w:ascii="Times" w:hAnsi="Times"/>
        </w:rPr>
        <w:t xml:space="preserve"> prongs</w:t>
      </w:r>
      <w:r w:rsidR="00FB2452">
        <w:rPr>
          <w:rFonts w:ascii="Times" w:hAnsi="Times"/>
        </w:rPr>
        <w:t xml:space="preserve"> because </w:t>
      </w:r>
      <w:r w:rsidR="00A43D4E">
        <w:rPr>
          <w:rFonts w:ascii="Times" w:hAnsi="Times"/>
        </w:rPr>
        <w:t xml:space="preserve">Black Virginians </w:t>
      </w:r>
      <w:r w:rsidR="00FB2452">
        <w:rPr>
          <w:rFonts w:ascii="Times" w:hAnsi="Times"/>
        </w:rPr>
        <w:t>reside mainly</w:t>
      </w:r>
      <w:r w:rsidR="00A43D4E">
        <w:rPr>
          <w:rFonts w:ascii="Times" w:hAnsi="Times"/>
        </w:rPr>
        <w:t xml:space="preserve"> in the Hampton Roads and Richmond areas and </w:t>
      </w:r>
      <w:r w:rsidR="00775A8F">
        <w:rPr>
          <w:rFonts w:ascii="Times" w:hAnsi="Times"/>
        </w:rPr>
        <w:t>very often participate in racially polarized voting</w:t>
      </w:r>
      <w:r w:rsidR="00A43D4E">
        <w:rPr>
          <w:rFonts w:ascii="Times" w:hAnsi="Times"/>
        </w:rPr>
        <w:t>.</w:t>
      </w:r>
      <w:r w:rsidR="00412ABB">
        <w:rPr>
          <w:rStyle w:val="FootnoteReference"/>
          <w:rFonts w:ascii="Times" w:hAnsi="Times"/>
        </w:rPr>
        <w:footnoteReference w:id="21"/>
      </w:r>
      <w:r w:rsidR="00FB65A9">
        <w:rPr>
          <w:rFonts w:ascii="Times" w:hAnsi="Times"/>
        </w:rPr>
        <w:t xml:space="preserve"> As such, these r</w:t>
      </w:r>
      <w:r w:rsidR="005A17FD">
        <w:rPr>
          <w:rFonts w:ascii="Times" w:hAnsi="Times"/>
        </w:rPr>
        <w:t>acial fairness laws apply with</w:t>
      </w:r>
      <w:r w:rsidR="00D92918">
        <w:rPr>
          <w:rFonts w:ascii="Times" w:hAnsi="Times"/>
        </w:rPr>
        <w:t xml:space="preserve"> greatest</w:t>
      </w:r>
      <w:r w:rsidR="005A17FD">
        <w:rPr>
          <w:rFonts w:ascii="Times" w:hAnsi="Times"/>
        </w:rPr>
        <w:t xml:space="preserve"> force to Virginia’s 3</w:t>
      </w:r>
      <w:r w:rsidR="005A17FD" w:rsidRPr="001E4700">
        <w:rPr>
          <w:rFonts w:ascii="Times" w:hAnsi="Times"/>
          <w:vertAlign w:val="superscript"/>
        </w:rPr>
        <w:t>rd</w:t>
      </w:r>
      <w:r w:rsidR="005A17FD">
        <w:rPr>
          <w:rFonts w:ascii="Times" w:hAnsi="Times"/>
        </w:rPr>
        <w:t xml:space="preserve"> and 4</w:t>
      </w:r>
      <w:r w:rsidR="005A17FD" w:rsidRPr="001E4700">
        <w:rPr>
          <w:rFonts w:ascii="Times" w:hAnsi="Times"/>
          <w:vertAlign w:val="superscript"/>
        </w:rPr>
        <w:t>th</w:t>
      </w:r>
      <w:r w:rsidR="005A17FD">
        <w:rPr>
          <w:rFonts w:ascii="Times" w:hAnsi="Times"/>
        </w:rPr>
        <w:t xml:space="preserve"> Districts</w:t>
      </w:r>
      <w:r w:rsidR="00FB65A9">
        <w:rPr>
          <w:rFonts w:ascii="Times" w:hAnsi="Times"/>
        </w:rPr>
        <w:t>, which</w:t>
      </w:r>
      <w:r w:rsidR="00526423">
        <w:rPr>
          <w:rFonts w:ascii="Times" w:hAnsi="Times"/>
        </w:rPr>
        <w:t xml:space="preserve"> </w:t>
      </w:r>
      <w:r w:rsidR="00FB65A9">
        <w:rPr>
          <w:rFonts w:ascii="Times" w:hAnsi="Times"/>
        </w:rPr>
        <w:t>contain Hampton Roads and</w:t>
      </w:r>
      <w:r w:rsidR="00C97C5E">
        <w:rPr>
          <w:rFonts w:ascii="Times" w:hAnsi="Times"/>
        </w:rPr>
        <w:t xml:space="preserve"> portions of</w:t>
      </w:r>
      <w:r w:rsidR="00FB65A9">
        <w:rPr>
          <w:rFonts w:ascii="Times" w:hAnsi="Times"/>
        </w:rPr>
        <w:t xml:space="preserve"> </w:t>
      </w:r>
      <w:r w:rsidR="00526423">
        <w:rPr>
          <w:rFonts w:ascii="Times" w:hAnsi="Times"/>
        </w:rPr>
        <w:t>Richmond, respectively</w:t>
      </w:r>
      <w:r w:rsidR="00C97C5E">
        <w:rPr>
          <w:rFonts w:ascii="Times" w:hAnsi="Times"/>
        </w:rPr>
        <w:t xml:space="preserve"> in all three proposed plans</w:t>
      </w:r>
      <w:r w:rsidR="005A17FD">
        <w:rPr>
          <w:rFonts w:ascii="Times" w:hAnsi="Times"/>
        </w:rPr>
        <w:t>.</w:t>
      </w:r>
      <w:r w:rsidR="00B629C4">
        <w:rPr>
          <w:rFonts w:ascii="Times" w:hAnsi="Times"/>
        </w:rPr>
        <w:t xml:space="preserve"> </w:t>
      </w:r>
      <w:r w:rsidR="001E4700">
        <w:t>Originally, the 3</w:t>
      </w:r>
      <w:r w:rsidR="001E4700" w:rsidRPr="00C84463">
        <w:rPr>
          <w:vertAlign w:val="superscript"/>
        </w:rPr>
        <w:t>rd</w:t>
      </w:r>
      <w:r w:rsidR="000B3F47">
        <w:rPr>
          <w:vertAlign w:val="superscript"/>
        </w:rPr>
        <w:t xml:space="preserve"> </w:t>
      </w:r>
      <w:r w:rsidR="000B3F47">
        <w:t xml:space="preserve">District was created in 1992 after the Department of Justice mandated </w:t>
      </w:r>
      <w:r w:rsidR="00BF0424">
        <w:t>the creation of a</w:t>
      </w:r>
      <w:r w:rsidR="000B3F47">
        <w:t xml:space="preserve"> Black-majority district</w:t>
      </w:r>
      <w:r w:rsidR="001E4700">
        <w:t xml:space="preserve"> </w:t>
      </w:r>
      <w:r w:rsidR="00BF0424">
        <w:t>encompassing</w:t>
      </w:r>
      <w:r w:rsidR="001E4700">
        <w:t xml:space="preserve"> majority Black precincts </w:t>
      </w:r>
      <w:r w:rsidR="00BF0424">
        <w:t>in</w:t>
      </w:r>
      <w:r w:rsidR="001E4700">
        <w:t xml:space="preserve"> Richmond and Hampton Roads.</w:t>
      </w:r>
      <w:r w:rsidR="00B629C4" w:rsidRPr="00B629C4">
        <w:rPr>
          <w:rStyle w:val="FootnoteReference"/>
          <w:rFonts w:ascii="Times" w:hAnsi="Times"/>
        </w:rPr>
        <w:t xml:space="preserve"> </w:t>
      </w:r>
      <w:r w:rsidR="00B629C4">
        <w:rPr>
          <w:rStyle w:val="FootnoteReference"/>
          <w:rFonts w:ascii="Times" w:hAnsi="Times"/>
        </w:rPr>
        <w:footnoteReference w:id="22"/>
      </w:r>
      <w:r w:rsidR="001E4700">
        <w:t xml:space="preserve"> </w:t>
      </w:r>
      <w:r w:rsidR="00BF0424">
        <w:rPr>
          <w:rFonts w:ascii="Times" w:hAnsi="Times"/>
        </w:rPr>
        <w:t>These two districts took their</w:t>
      </w:r>
      <w:r w:rsidR="00BF0424" w:rsidRPr="006B136D">
        <w:rPr>
          <w:rFonts w:ascii="Times" w:hAnsi="Times"/>
        </w:rPr>
        <w:t xml:space="preserve"> </w:t>
      </w:r>
      <w:proofErr w:type="spellStart"/>
      <w:r w:rsidR="00BF0424">
        <w:rPr>
          <w:rFonts w:ascii="Times" w:hAnsi="Times"/>
        </w:rPr>
        <w:t>currrent</w:t>
      </w:r>
      <w:proofErr w:type="spellEnd"/>
      <w:r w:rsidR="00BF0424">
        <w:rPr>
          <w:rFonts w:ascii="Times" w:hAnsi="Times"/>
        </w:rPr>
        <w:t xml:space="preserve"> forms</w:t>
      </w:r>
      <w:r w:rsidR="00BF0424">
        <w:rPr>
          <w:rFonts w:ascii="Times" w:hAnsi="Times"/>
        </w:rPr>
        <w:t>, however,</w:t>
      </w:r>
      <w:r w:rsidR="00BF0424" w:rsidRPr="006B136D">
        <w:rPr>
          <w:rFonts w:ascii="Times" w:hAnsi="Times"/>
        </w:rPr>
        <w:t xml:space="preserve"> in 2016 when the </w:t>
      </w:r>
      <w:proofErr w:type="spellStart"/>
      <w:r w:rsidR="00BF0424" w:rsidRPr="006B136D">
        <w:rPr>
          <w:i/>
          <w:iCs/>
        </w:rPr>
        <w:t>Personhuballah</w:t>
      </w:r>
      <w:proofErr w:type="spellEnd"/>
      <w:r w:rsidR="00BF0424">
        <w:rPr>
          <w:i/>
          <w:iCs/>
        </w:rPr>
        <w:t xml:space="preserve"> </w:t>
      </w:r>
      <w:r w:rsidR="00BF0424" w:rsidRPr="006B136D">
        <w:rPr>
          <w:rFonts w:ascii="Times" w:hAnsi="Times"/>
        </w:rPr>
        <w:t xml:space="preserve">Court </w:t>
      </w:r>
      <w:r w:rsidR="00BF0424">
        <w:t xml:space="preserve">determined that a 55% Black </w:t>
      </w:r>
      <w:r w:rsidR="00DB416D">
        <w:t>voting age population (</w:t>
      </w:r>
      <w:r w:rsidR="00BF0424">
        <w:t>VAP</w:t>
      </w:r>
      <w:r w:rsidR="00DB416D">
        <w:t>)</w:t>
      </w:r>
      <w:r w:rsidR="00BF0424">
        <w:t xml:space="preserve"> in the 3</w:t>
      </w:r>
      <w:r w:rsidR="00BF0424" w:rsidRPr="006B136D">
        <w:rPr>
          <w:vertAlign w:val="superscript"/>
        </w:rPr>
        <w:t>rd</w:t>
      </w:r>
      <w:r w:rsidR="00BF0424">
        <w:t xml:space="preserve"> District was not sufficiently narrowly tailored to achieve the goals of the Voting Rights Act. </w:t>
      </w:r>
      <w:r w:rsidR="001E4700">
        <w:t>The court-drawn map shifted Richmond</w:t>
      </w:r>
      <w:r w:rsidR="000B3F47">
        <w:t xml:space="preserve"> and Petersburg</w:t>
      </w:r>
      <w:r w:rsidR="001E4700">
        <w:t xml:space="preserve"> precincts into the 4</w:t>
      </w:r>
      <w:r w:rsidR="001E4700" w:rsidRPr="00C84463">
        <w:rPr>
          <w:vertAlign w:val="superscript"/>
        </w:rPr>
        <w:t>th</w:t>
      </w:r>
      <w:r w:rsidR="001E4700">
        <w:t xml:space="preserve"> District</w:t>
      </w:r>
      <w:r w:rsidR="00BF0424">
        <w:t xml:space="preserve"> to avoid “stacking</w:t>
      </w:r>
      <w:r w:rsidR="001E4700">
        <w:t>.</w:t>
      </w:r>
      <w:r w:rsidR="00BF0424">
        <w:t>”</w:t>
      </w:r>
      <w:r w:rsidR="000B3F47" w:rsidRPr="000B3F47">
        <w:rPr>
          <w:rStyle w:val="FootnoteReference"/>
          <w:rFonts w:ascii="Times" w:hAnsi="Times"/>
        </w:rPr>
        <w:t xml:space="preserve"> </w:t>
      </w:r>
      <w:r w:rsidR="000B3F47">
        <w:rPr>
          <w:rStyle w:val="FootnoteReference"/>
          <w:rFonts w:ascii="Times" w:hAnsi="Times"/>
        </w:rPr>
        <w:footnoteReference w:id="23"/>
      </w:r>
      <w:r w:rsidR="001E4700">
        <w:rPr>
          <w:rFonts w:ascii="Times" w:hAnsi="Times"/>
        </w:rPr>
        <w:t xml:space="preserve"> </w:t>
      </w:r>
      <w:proofErr w:type="gramStart"/>
      <w:r w:rsidR="000B3F47">
        <w:rPr>
          <w:rFonts w:ascii="Times" w:hAnsi="Times"/>
        </w:rPr>
        <w:t>Post-2016</w:t>
      </w:r>
      <w:proofErr w:type="gramEnd"/>
      <w:r w:rsidR="000B3F47">
        <w:rPr>
          <w:rFonts w:ascii="Times" w:hAnsi="Times"/>
        </w:rPr>
        <w:t>, the 3</w:t>
      </w:r>
      <w:r w:rsidR="000B3F47" w:rsidRPr="000B3F47">
        <w:rPr>
          <w:rFonts w:ascii="Times" w:hAnsi="Times"/>
          <w:vertAlign w:val="superscript"/>
        </w:rPr>
        <w:t>rd</w:t>
      </w:r>
      <w:r w:rsidR="000B3F47">
        <w:rPr>
          <w:rFonts w:ascii="Times" w:hAnsi="Times"/>
        </w:rPr>
        <w:t xml:space="preserve"> District r</w:t>
      </w:r>
      <w:r w:rsidR="001E4700">
        <w:rPr>
          <w:rFonts w:ascii="Times" w:hAnsi="Times"/>
        </w:rPr>
        <w:t>oughly trac</w:t>
      </w:r>
      <w:r w:rsidR="000B3F47">
        <w:rPr>
          <w:rFonts w:ascii="Times" w:hAnsi="Times"/>
        </w:rPr>
        <w:t>ed</w:t>
      </w:r>
      <w:r w:rsidR="001E4700">
        <w:rPr>
          <w:rFonts w:ascii="Times" w:hAnsi="Times"/>
        </w:rPr>
        <w:t xml:space="preserve"> the Hampton Roads Beltway in Southeast Virginia</w:t>
      </w:r>
      <w:r w:rsidR="000B3F47">
        <w:rPr>
          <w:rFonts w:ascii="Times" w:hAnsi="Times"/>
        </w:rPr>
        <w:t xml:space="preserve"> and </w:t>
      </w:r>
      <w:r w:rsidR="000B3F47" w:rsidRPr="000B3F47">
        <w:rPr>
          <w:rFonts w:ascii="Times" w:hAnsi="Times"/>
        </w:rPr>
        <w:t>was</w:t>
      </w:r>
      <w:r w:rsidR="001E4700" w:rsidRPr="000B3F47">
        <w:rPr>
          <w:rFonts w:ascii="Times" w:hAnsi="Times"/>
        </w:rPr>
        <w:t xml:space="preserve"> a majority-minority, but plurality </w:t>
      </w:r>
      <w:r w:rsidR="00933D66">
        <w:rPr>
          <w:rFonts w:ascii="Times" w:hAnsi="Times"/>
        </w:rPr>
        <w:t>w</w:t>
      </w:r>
      <w:r w:rsidR="001E4700" w:rsidRPr="000B3F47">
        <w:rPr>
          <w:rFonts w:ascii="Times" w:hAnsi="Times"/>
        </w:rPr>
        <w:t>hite district</w:t>
      </w:r>
      <w:r w:rsidR="001E4700">
        <w:rPr>
          <w:rFonts w:ascii="Times" w:hAnsi="Times"/>
        </w:rPr>
        <w:t xml:space="preserve">. Since </w:t>
      </w:r>
      <w:r w:rsidR="001E4700">
        <w:rPr>
          <w:rFonts w:ascii="Times" w:hAnsi="Times"/>
        </w:rPr>
        <w:lastRenderedPageBreak/>
        <w:t>1992, it has consistently elected the candidate of choice of the Black population</w:t>
      </w:r>
      <w:r w:rsidR="000B3F47">
        <w:rPr>
          <w:rFonts w:ascii="Times" w:hAnsi="Times"/>
        </w:rPr>
        <w:t xml:space="preserve">, Representative Bobby Scott, originally the only Black </w:t>
      </w:r>
      <w:r w:rsidR="00BF0424">
        <w:rPr>
          <w:rFonts w:ascii="Times" w:hAnsi="Times"/>
        </w:rPr>
        <w:t>r</w:t>
      </w:r>
      <w:r w:rsidR="000B3F47">
        <w:rPr>
          <w:rFonts w:ascii="Times" w:hAnsi="Times"/>
        </w:rPr>
        <w:t>epresentative in the state. The Court held that Black VAP population</w:t>
      </w:r>
      <w:r w:rsidR="00852525">
        <w:rPr>
          <w:rFonts w:ascii="Times" w:hAnsi="Times"/>
        </w:rPr>
        <w:t xml:space="preserve"> at or above 45.3% </w:t>
      </w:r>
      <w:r w:rsidR="00BF0424">
        <w:rPr>
          <w:rFonts w:ascii="Times" w:hAnsi="Times"/>
        </w:rPr>
        <w:t>in the 3</w:t>
      </w:r>
      <w:r w:rsidR="00BF0424" w:rsidRPr="00BF0424">
        <w:rPr>
          <w:rFonts w:ascii="Times" w:hAnsi="Times"/>
          <w:vertAlign w:val="superscript"/>
        </w:rPr>
        <w:t>rd</w:t>
      </w:r>
      <w:r w:rsidR="00BF0424">
        <w:rPr>
          <w:rFonts w:ascii="Times" w:hAnsi="Times"/>
        </w:rPr>
        <w:t xml:space="preserve"> </w:t>
      </w:r>
      <w:r w:rsidR="00852525">
        <w:rPr>
          <w:rFonts w:ascii="Times" w:hAnsi="Times"/>
        </w:rPr>
        <w:t>would enable Black voters to elect their candidate of choice</w:t>
      </w:r>
      <w:r w:rsidR="005371BC">
        <w:rPr>
          <w:rFonts w:ascii="Times" w:hAnsi="Times"/>
        </w:rPr>
        <w:t xml:space="preserve"> (the 2016 map </w:t>
      </w:r>
      <w:r w:rsidR="00BF0424">
        <w:rPr>
          <w:rFonts w:ascii="Times" w:hAnsi="Times"/>
        </w:rPr>
        <w:t>reached</w:t>
      </w:r>
      <w:r w:rsidR="005371BC">
        <w:rPr>
          <w:rFonts w:ascii="Times" w:hAnsi="Times"/>
        </w:rPr>
        <w:t xml:space="preserve"> 47.2%)</w:t>
      </w:r>
      <w:r w:rsidR="00852525">
        <w:rPr>
          <w:rFonts w:ascii="Times" w:hAnsi="Times"/>
        </w:rPr>
        <w:t>.</w:t>
      </w:r>
      <w:r w:rsidR="00966C99">
        <w:rPr>
          <w:rStyle w:val="FootnoteReference"/>
          <w:rFonts w:ascii="Times" w:hAnsi="Times"/>
        </w:rPr>
        <w:footnoteReference w:id="24"/>
      </w:r>
      <w:r w:rsidR="00852525">
        <w:rPr>
          <w:rFonts w:ascii="Times" w:hAnsi="Times"/>
        </w:rPr>
        <w:t xml:space="preserve"> </w:t>
      </w:r>
      <w:r w:rsidR="000B3F47">
        <w:rPr>
          <w:rFonts w:ascii="Times" w:hAnsi="Times"/>
        </w:rPr>
        <w:t>The 4</w:t>
      </w:r>
      <w:r w:rsidR="000B3F47" w:rsidRPr="00A94144">
        <w:rPr>
          <w:rFonts w:ascii="Times" w:hAnsi="Times"/>
          <w:vertAlign w:val="superscript"/>
        </w:rPr>
        <w:t>th</w:t>
      </w:r>
      <w:r w:rsidR="000B3F47">
        <w:rPr>
          <w:rFonts w:ascii="Times" w:hAnsi="Times"/>
        </w:rPr>
        <w:t xml:space="preserve"> District stretches from the Richmond-Henrico County area in the north to the Chesapeake area in the southeast and Brunswick County in the south</w:t>
      </w:r>
      <w:r w:rsidR="00A0461C">
        <w:rPr>
          <w:rFonts w:ascii="Times" w:hAnsi="Times"/>
        </w:rPr>
        <w:t>we</w:t>
      </w:r>
      <w:r w:rsidR="000B3F47">
        <w:rPr>
          <w:rFonts w:ascii="Times" w:hAnsi="Times"/>
        </w:rPr>
        <w:t xml:space="preserve">st. </w:t>
      </w:r>
      <w:r w:rsidR="000B3F47" w:rsidRPr="000B3F47">
        <w:rPr>
          <w:rFonts w:ascii="Times" w:hAnsi="Times"/>
        </w:rPr>
        <w:t xml:space="preserve">It is also a majority-minority, but plurality </w:t>
      </w:r>
      <w:r w:rsidR="00933D66">
        <w:rPr>
          <w:rFonts w:ascii="Times" w:hAnsi="Times"/>
        </w:rPr>
        <w:t>w</w:t>
      </w:r>
      <w:r w:rsidR="000B3F47" w:rsidRPr="000B3F47">
        <w:rPr>
          <w:rFonts w:ascii="Times" w:hAnsi="Times"/>
        </w:rPr>
        <w:t>hite</w:t>
      </w:r>
      <w:r w:rsidR="00933D66">
        <w:rPr>
          <w:rFonts w:ascii="Times" w:hAnsi="Times"/>
        </w:rPr>
        <w:t>,</w:t>
      </w:r>
      <w:r w:rsidR="000B3F47" w:rsidRPr="000B3F47">
        <w:rPr>
          <w:rFonts w:ascii="Times" w:hAnsi="Times"/>
        </w:rPr>
        <w:t xml:space="preserve"> district. </w:t>
      </w:r>
      <w:r w:rsidR="000B3F47">
        <w:rPr>
          <w:rFonts w:ascii="Times" w:hAnsi="Times"/>
        </w:rPr>
        <w:t>Since 2016, it has also consistently elected the candidate of choice of the Black population</w:t>
      </w:r>
      <w:r w:rsidR="0092266D">
        <w:rPr>
          <w:rFonts w:ascii="Times" w:hAnsi="Times"/>
        </w:rPr>
        <w:t xml:space="preserve">, currently Representative </w:t>
      </w:r>
      <w:r w:rsidR="00933D66">
        <w:rPr>
          <w:rFonts w:ascii="Times" w:hAnsi="Times"/>
        </w:rPr>
        <w:t>Donald</w:t>
      </w:r>
      <w:r w:rsidR="0092266D">
        <w:rPr>
          <w:rFonts w:ascii="Times" w:hAnsi="Times"/>
        </w:rPr>
        <w:t xml:space="preserve"> McEachin</w:t>
      </w:r>
      <w:r w:rsidR="006F3E55">
        <w:rPr>
          <w:rFonts w:ascii="Times" w:hAnsi="Times"/>
        </w:rPr>
        <w:t>, the only other Black representative from Virginia besides Scott</w:t>
      </w:r>
      <w:r w:rsidR="000B3F47">
        <w:rPr>
          <w:rFonts w:ascii="Times" w:hAnsi="Times"/>
        </w:rPr>
        <w:t xml:space="preserve">. </w:t>
      </w:r>
      <w:r w:rsidR="00A35F12">
        <w:rPr>
          <w:rFonts w:ascii="Times" w:hAnsi="Times"/>
        </w:rPr>
        <w:t>The Court held that Black VAP population at or above 4</w:t>
      </w:r>
      <w:r w:rsidR="009863D7">
        <w:rPr>
          <w:rFonts w:ascii="Times" w:hAnsi="Times"/>
        </w:rPr>
        <w:t>0</w:t>
      </w:r>
      <w:r w:rsidR="00A35F12">
        <w:rPr>
          <w:rFonts w:ascii="Times" w:hAnsi="Times"/>
        </w:rPr>
        <w:t xml:space="preserve">% </w:t>
      </w:r>
      <w:r w:rsidR="00625B45">
        <w:rPr>
          <w:rFonts w:ascii="Times" w:hAnsi="Times"/>
        </w:rPr>
        <w:t xml:space="preserve">(which it had in the 2016 maps) </w:t>
      </w:r>
      <w:r w:rsidR="00A35F12">
        <w:rPr>
          <w:rFonts w:ascii="Times" w:hAnsi="Times"/>
        </w:rPr>
        <w:t>would enable Black voters in this district to elect their candidate of choice.</w:t>
      </w:r>
      <w:r w:rsidR="00A35F12">
        <w:rPr>
          <w:rStyle w:val="FootnoteReference"/>
          <w:rFonts w:ascii="Times" w:hAnsi="Times"/>
        </w:rPr>
        <w:footnoteReference w:id="25"/>
      </w:r>
    </w:p>
    <w:p w14:paraId="736CC6CF" w14:textId="146CC143" w:rsidR="00FD704C" w:rsidRPr="00B4228A" w:rsidRDefault="00B4228A" w:rsidP="000B3F47">
      <w:pPr>
        <w:spacing w:line="480" w:lineRule="auto"/>
        <w:ind w:firstLine="720"/>
        <w:jc w:val="both"/>
        <w:rPr>
          <w:rFonts w:ascii="Times" w:hAnsi="Times"/>
          <w:i/>
          <w:iCs/>
        </w:rPr>
      </w:pPr>
      <w:r>
        <w:rPr>
          <w:rFonts w:ascii="Times" w:hAnsi="Times"/>
          <w:i/>
          <w:iCs/>
        </w:rPr>
        <w:t xml:space="preserve">Communities of Interest Plan with VTDs shaded by proportion of VAP identifying as </w:t>
      </w:r>
      <w:r>
        <w:rPr>
          <w:rFonts w:ascii="Times" w:hAnsi="Times"/>
          <w:i/>
          <w:iCs/>
        </w:rPr>
        <w:t>Black</w:t>
      </w:r>
    </w:p>
    <w:p w14:paraId="5BBDAF2B" w14:textId="4CDD65EC" w:rsidR="00163102" w:rsidRDefault="00163102" w:rsidP="00163102">
      <w:r>
        <w:fldChar w:fldCharType="begin"/>
      </w:r>
      <w:r>
        <w:instrText xml:space="preserve"> INCLUDEPICTURE "https://drawcongress.org/wp-content/uploads/Screen-Shot-2022-03-14-at-2.28.07-PM.png" \* MERGEFORMATINET </w:instrText>
      </w:r>
      <w:r>
        <w:fldChar w:fldCharType="separate"/>
      </w:r>
      <w:r>
        <w:rPr>
          <w:noProof/>
        </w:rPr>
        <w:drawing>
          <wp:inline distT="0" distB="0" distL="0" distR="0" wp14:anchorId="0E4DDA55" wp14:editId="7C0C89D9">
            <wp:extent cx="5943600" cy="2926715"/>
            <wp:effectExtent l="0" t="0" r="0" b="0"/>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926715"/>
                    </a:xfrm>
                    <a:prstGeom prst="rect">
                      <a:avLst/>
                    </a:prstGeom>
                    <a:noFill/>
                    <a:ln>
                      <a:noFill/>
                    </a:ln>
                  </pic:spPr>
                </pic:pic>
              </a:graphicData>
            </a:graphic>
          </wp:inline>
        </w:drawing>
      </w:r>
      <w:r>
        <w:fldChar w:fldCharType="end"/>
      </w:r>
    </w:p>
    <w:p w14:paraId="65187549" w14:textId="77777777" w:rsidR="00163102" w:rsidRPr="000B3F47" w:rsidRDefault="00163102" w:rsidP="000B3F47">
      <w:pPr>
        <w:spacing w:line="480" w:lineRule="auto"/>
        <w:ind w:firstLine="720"/>
        <w:jc w:val="both"/>
        <w:rPr>
          <w:rFonts w:ascii="Times" w:hAnsi="Times"/>
        </w:rPr>
      </w:pPr>
    </w:p>
    <w:p w14:paraId="776BC736" w14:textId="3EECB792" w:rsidR="009F3B67" w:rsidRDefault="00933D66" w:rsidP="00625B45">
      <w:pPr>
        <w:spacing w:line="480" w:lineRule="auto"/>
        <w:ind w:firstLine="720"/>
      </w:pPr>
      <w:r>
        <w:rPr>
          <w:rFonts w:ascii="Times" w:hAnsi="Times"/>
        </w:rPr>
        <w:lastRenderedPageBreak/>
        <w:t>T</w:t>
      </w:r>
      <w:r w:rsidR="00B629C4">
        <w:t xml:space="preserve">o comply with the </w:t>
      </w:r>
      <w:r w:rsidR="00B629C4">
        <w:rPr>
          <w:i/>
          <w:iCs/>
        </w:rPr>
        <w:t>Shaw</w:t>
      </w:r>
      <w:r w:rsidR="00B629C4">
        <w:t xml:space="preserve"> mandate, the two ability-to-elect districts, the 3</w:t>
      </w:r>
      <w:r w:rsidR="00B629C4" w:rsidRPr="00D52F21">
        <w:rPr>
          <w:vertAlign w:val="superscript"/>
        </w:rPr>
        <w:t>rd</w:t>
      </w:r>
      <w:r w:rsidR="00B629C4">
        <w:t xml:space="preserve"> and 4</w:t>
      </w:r>
      <w:r w:rsidR="00B629C4" w:rsidRPr="00D52F21">
        <w:rPr>
          <w:vertAlign w:val="superscript"/>
        </w:rPr>
        <w:t>th</w:t>
      </w:r>
      <w:r w:rsidR="00B629C4">
        <w:t xml:space="preserve"> Districts in all three proposed plans, were drawn first according to </w:t>
      </w:r>
      <w:r w:rsidR="00CD570D">
        <w:t>least change</w:t>
      </w:r>
      <w:r w:rsidR="00B629C4">
        <w:t xml:space="preserve"> principles, adjusting the existing district lines only to reach population equality</w:t>
      </w:r>
      <w:r w:rsidR="00CD570D">
        <w:t>, and second according to good government principles so that subdivision splits occurred</w:t>
      </w:r>
      <w:r w:rsidR="00B629C4">
        <w:t xml:space="preserve"> along county, municipality, and highway lines. For all three proposed plans, racial data was later considered to ensure that Black population did not fall below </w:t>
      </w:r>
      <w:r w:rsidR="00CD570D">
        <w:t xml:space="preserve">the </w:t>
      </w:r>
      <w:r w:rsidR="00B629C4">
        <w:t>levels approved</w:t>
      </w:r>
      <w:r w:rsidR="00CD570D">
        <w:t xml:space="preserve"> by the Court</w:t>
      </w:r>
      <w:r w:rsidR="00B629C4">
        <w:t xml:space="preserve"> in </w:t>
      </w:r>
      <w:proofErr w:type="spellStart"/>
      <w:r w:rsidR="00B629C4" w:rsidRPr="007169FF">
        <w:rPr>
          <w:i/>
          <w:iCs/>
        </w:rPr>
        <w:t>Personhuballah</w:t>
      </w:r>
      <w:proofErr w:type="spellEnd"/>
      <w:r w:rsidR="00B629C4">
        <w:rPr>
          <w:i/>
          <w:iCs/>
        </w:rPr>
        <w:t>.</w:t>
      </w:r>
      <w:r w:rsidR="00B629C4" w:rsidRPr="00F07672">
        <w:rPr>
          <w:rStyle w:val="FootnoteReference"/>
        </w:rPr>
        <w:footnoteReference w:id="26"/>
      </w:r>
      <w:r w:rsidR="00B629C4" w:rsidRPr="00B629C4">
        <w:t xml:space="preserve"> </w:t>
      </w:r>
      <w:r w:rsidR="00B629C4">
        <w:t xml:space="preserve">For the Good Government and Proportional Representation </w:t>
      </w:r>
      <w:r w:rsidR="009F3B67">
        <w:t>P</w:t>
      </w:r>
      <w:r w:rsidR="00B629C4">
        <w:t xml:space="preserve">lans, the map gives minority communities opportunities to elect their candidate of choice without packing an excessive number of such community members into a single district. </w:t>
      </w:r>
      <w:r w:rsidR="008E65BD">
        <w:t xml:space="preserve">For the Good Government Plan, </w:t>
      </w:r>
      <w:r w:rsidR="0099560E">
        <w:t>Black VAP in the 3</w:t>
      </w:r>
      <w:r w:rsidR="0099560E" w:rsidRPr="003B297F">
        <w:rPr>
          <w:vertAlign w:val="superscript"/>
        </w:rPr>
        <w:t>rd</w:t>
      </w:r>
      <w:r w:rsidR="0099560E">
        <w:t xml:space="preserve"> District is 47%, and 40.2% in the 4</w:t>
      </w:r>
      <w:r w:rsidR="0099560E" w:rsidRPr="008E65BD">
        <w:rPr>
          <w:vertAlign w:val="superscript"/>
        </w:rPr>
        <w:t>th</w:t>
      </w:r>
      <w:r w:rsidR="0099560E">
        <w:t>, exceeding the Court’s required floor</w:t>
      </w:r>
      <w:r w:rsidR="00590659">
        <w:t>s</w:t>
      </w:r>
      <w:r w:rsidR="0099560E">
        <w:t xml:space="preserve"> for those values. </w:t>
      </w:r>
      <w:r w:rsidR="003B297F">
        <w:t>For the Proportional Representation Plan, Black VAP in the 3</w:t>
      </w:r>
      <w:r w:rsidR="003B297F" w:rsidRPr="003B297F">
        <w:rPr>
          <w:vertAlign w:val="superscript"/>
        </w:rPr>
        <w:t>rd</w:t>
      </w:r>
      <w:r w:rsidR="003B297F">
        <w:t xml:space="preserve"> District is 4</w:t>
      </w:r>
      <w:r w:rsidR="0099560E">
        <w:t>5</w:t>
      </w:r>
      <w:r w:rsidR="003B297F">
        <w:t>.3%, and 4</w:t>
      </w:r>
      <w:r w:rsidR="0099560E">
        <w:t>1</w:t>
      </w:r>
      <w:r w:rsidR="003B297F">
        <w:t>.3%</w:t>
      </w:r>
      <w:r w:rsidR="008E65BD">
        <w:t xml:space="preserve"> in the 4</w:t>
      </w:r>
      <w:r w:rsidR="008E65BD" w:rsidRPr="008E65BD">
        <w:rPr>
          <w:vertAlign w:val="superscript"/>
        </w:rPr>
        <w:t>th</w:t>
      </w:r>
      <w:r w:rsidR="008E65BD">
        <w:t xml:space="preserve">, </w:t>
      </w:r>
      <w:r w:rsidR="00590659">
        <w:t>again, both</w:t>
      </w:r>
      <w:r w:rsidR="008E65BD">
        <w:t xml:space="preserve"> permissible under the Court’s finding.</w:t>
      </w:r>
      <w:r w:rsidR="000367BD">
        <w:t xml:space="preserve"> </w:t>
      </w:r>
      <w:r w:rsidR="00817A0B">
        <w:t xml:space="preserve">These plans are comparably successful </w:t>
      </w:r>
      <w:r w:rsidR="006231F4">
        <w:t xml:space="preserve">with </w:t>
      </w:r>
      <w:r w:rsidR="000367BD">
        <w:t xml:space="preserve">The </w:t>
      </w:r>
      <w:proofErr w:type="spellStart"/>
      <w:r w:rsidR="000367BD">
        <w:t>Grofman-Trende</w:t>
      </w:r>
      <w:proofErr w:type="spellEnd"/>
      <w:r w:rsidR="000367BD">
        <w:t xml:space="preserve"> Plan</w:t>
      </w:r>
      <w:r w:rsidR="006231F4">
        <w:t>, which</w:t>
      </w:r>
      <w:r w:rsidR="000367BD">
        <w:t xml:space="preserve"> has Black VAP at 44.5% in the 3</w:t>
      </w:r>
      <w:r w:rsidR="000367BD" w:rsidRPr="000367BD">
        <w:rPr>
          <w:vertAlign w:val="superscript"/>
        </w:rPr>
        <w:t>rd</w:t>
      </w:r>
      <w:r w:rsidR="000367BD">
        <w:t xml:space="preserve"> and </w:t>
      </w:r>
      <w:r w:rsidR="003C4989">
        <w:t>45.26% in the 4</w:t>
      </w:r>
      <w:r w:rsidR="003C4989" w:rsidRPr="003C4989">
        <w:rPr>
          <w:vertAlign w:val="superscript"/>
        </w:rPr>
        <w:t>th</w:t>
      </w:r>
      <w:r w:rsidR="003C4989">
        <w:t>.</w:t>
      </w:r>
    </w:p>
    <w:p w14:paraId="561E5827" w14:textId="77D0E14B" w:rsidR="00B629C4" w:rsidRPr="00E55BEE" w:rsidRDefault="00B629C4" w:rsidP="00933D66">
      <w:pPr>
        <w:spacing w:line="480" w:lineRule="auto"/>
        <w:ind w:firstLine="720"/>
      </w:pPr>
      <w:r>
        <w:t xml:space="preserve">However, the Community of Interest </w:t>
      </w:r>
      <w:r w:rsidR="009F3B67">
        <w:t>P</w:t>
      </w:r>
      <w:r>
        <w:t>lan is notably vulnerable to a VRA Section 2 challenge because</w:t>
      </w:r>
      <w:r w:rsidR="005371BC">
        <w:t xml:space="preserve"> </w:t>
      </w:r>
      <w:r w:rsidR="003F045D">
        <w:t xml:space="preserve">the </w:t>
      </w:r>
      <w:r>
        <w:t>4</w:t>
      </w:r>
      <w:r w:rsidR="005371BC" w:rsidRPr="005371BC">
        <w:rPr>
          <w:vertAlign w:val="superscript"/>
        </w:rPr>
        <w:t>th</w:t>
      </w:r>
      <w:r w:rsidR="005371BC">
        <w:t xml:space="preserve"> District will</w:t>
      </w:r>
      <w:r>
        <w:t xml:space="preserve"> likely fall</w:t>
      </w:r>
      <w:r w:rsidR="005371BC">
        <w:t xml:space="preserve"> </w:t>
      </w:r>
      <w:r>
        <w:t>below a level sufficient to give minority voters the opportunity to elect their candidate of choice.</w:t>
      </w:r>
      <w:r w:rsidR="005371BC">
        <w:t xml:space="preserve"> The 3</w:t>
      </w:r>
      <w:r w:rsidR="005371BC" w:rsidRPr="005371BC">
        <w:rPr>
          <w:vertAlign w:val="superscript"/>
        </w:rPr>
        <w:t>rd</w:t>
      </w:r>
      <w:r w:rsidR="005371BC">
        <w:t xml:space="preserve"> District has a Black VAP of </w:t>
      </w:r>
      <w:r w:rsidR="00E55BEE">
        <w:t xml:space="preserve">44.7%, </w:t>
      </w:r>
      <w:r w:rsidR="003F045D">
        <w:t>exceeding</w:t>
      </w:r>
      <w:r w:rsidR="00E55BEE">
        <w:t xml:space="preserve"> the level </w:t>
      </w:r>
      <w:proofErr w:type="spellStart"/>
      <w:r w:rsidR="00E55BEE">
        <w:t>Grofman</w:t>
      </w:r>
      <w:proofErr w:type="spellEnd"/>
      <w:r w:rsidR="00E55BEE">
        <w:t xml:space="preserve"> and </w:t>
      </w:r>
      <w:proofErr w:type="spellStart"/>
      <w:r w:rsidR="00E55BEE">
        <w:t>Trende</w:t>
      </w:r>
      <w:proofErr w:type="spellEnd"/>
      <w:r w:rsidR="00E55BEE">
        <w:t xml:space="preserve"> found necessary for the Black community to elect their candidate of choice, but below </w:t>
      </w:r>
      <w:proofErr w:type="spellStart"/>
      <w:r w:rsidR="00E55BEE" w:rsidRPr="007169FF">
        <w:rPr>
          <w:i/>
          <w:iCs/>
        </w:rPr>
        <w:t>Personhuballah</w:t>
      </w:r>
      <w:proofErr w:type="spellEnd"/>
      <w:r w:rsidR="00E55BEE">
        <w:rPr>
          <w:i/>
          <w:iCs/>
        </w:rPr>
        <w:t xml:space="preserve"> </w:t>
      </w:r>
      <w:r w:rsidR="00E55BEE">
        <w:t>levels.</w:t>
      </w:r>
      <w:r w:rsidR="00E55BEE">
        <w:rPr>
          <w:rStyle w:val="FootnoteReference"/>
        </w:rPr>
        <w:footnoteReference w:id="27"/>
      </w:r>
      <w:r w:rsidR="00000566">
        <w:t xml:space="preserve"> At 33.6% Black VAP, the 4</w:t>
      </w:r>
      <w:r w:rsidR="00000566" w:rsidRPr="00000566">
        <w:rPr>
          <w:vertAlign w:val="superscript"/>
        </w:rPr>
        <w:t>th</w:t>
      </w:r>
      <w:r w:rsidR="00000566">
        <w:t xml:space="preserve"> District falls well below both </w:t>
      </w:r>
      <w:proofErr w:type="spellStart"/>
      <w:r w:rsidR="003F045D">
        <w:t>Grofman-Trende</w:t>
      </w:r>
      <w:proofErr w:type="spellEnd"/>
      <w:r w:rsidR="003F045D">
        <w:t xml:space="preserve"> and </w:t>
      </w:r>
      <w:proofErr w:type="spellStart"/>
      <w:proofErr w:type="gramStart"/>
      <w:r w:rsidR="003F045D" w:rsidRPr="007169FF">
        <w:rPr>
          <w:i/>
          <w:iCs/>
        </w:rPr>
        <w:t>Personhuballah</w:t>
      </w:r>
      <w:proofErr w:type="spellEnd"/>
      <w:r w:rsidR="003F045D">
        <w:rPr>
          <w:i/>
          <w:iCs/>
        </w:rPr>
        <w:t xml:space="preserve"> </w:t>
      </w:r>
      <w:r w:rsidR="003F045D">
        <w:rPr>
          <w:i/>
          <w:iCs/>
        </w:rPr>
        <w:t xml:space="preserve"> </w:t>
      </w:r>
      <w:r w:rsidR="00000566">
        <w:t>benchmarks</w:t>
      </w:r>
      <w:proofErr w:type="gramEnd"/>
      <w:r w:rsidR="00000566">
        <w:t xml:space="preserve"> and would be unlikely to pass VRA muster. </w:t>
      </w:r>
      <w:r w:rsidR="00253A4D">
        <w:t>Compliance with the</w:t>
      </w:r>
      <w:r w:rsidR="00203D6D">
        <w:t xml:space="preserve"> VRA-</w:t>
      </w:r>
      <w:proofErr w:type="spellStart"/>
      <w:r w:rsidR="00203D6D" w:rsidRPr="007169FF">
        <w:rPr>
          <w:i/>
          <w:iCs/>
        </w:rPr>
        <w:t>Personhuballah</w:t>
      </w:r>
      <w:proofErr w:type="spellEnd"/>
      <w:r w:rsidR="00203D6D">
        <w:rPr>
          <w:i/>
          <w:iCs/>
        </w:rPr>
        <w:t xml:space="preserve"> </w:t>
      </w:r>
      <w:r w:rsidR="00203D6D">
        <w:t>levels for the 4</w:t>
      </w:r>
      <w:r w:rsidR="00203D6D" w:rsidRPr="00203D6D">
        <w:rPr>
          <w:vertAlign w:val="superscript"/>
        </w:rPr>
        <w:t>th</w:t>
      </w:r>
      <w:r w:rsidR="00203D6D">
        <w:t xml:space="preserve"> District </w:t>
      </w:r>
      <w:r w:rsidR="005501AE">
        <w:t>necessitates</w:t>
      </w:r>
      <w:r w:rsidR="00203D6D">
        <w:t xml:space="preserve"> splitting Black communities in Richmond</w:t>
      </w:r>
      <w:r w:rsidR="005501AE">
        <w:t xml:space="preserve"> and combining them with rural, white </w:t>
      </w:r>
      <w:r w:rsidR="005501AE">
        <w:lastRenderedPageBreak/>
        <w:t>communities in Southside, in conflict with the principles of keeping such communities intact that motivated the Communities of Interest Plan</w:t>
      </w:r>
      <w:r w:rsidR="00DE0E26">
        <w:t xml:space="preserve"> in the first place.</w:t>
      </w:r>
    </w:p>
    <w:p w14:paraId="4241210A" w14:textId="579D50A0" w:rsidR="00EE1728" w:rsidRDefault="00BA74A9" w:rsidP="00EE1728">
      <w:pPr>
        <w:spacing w:line="480" w:lineRule="auto"/>
        <w:jc w:val="both"/>
        <w:rPr>
          <w:rFonts w:ascii="Times" w:hAnsi="Times"/>
          <w:b/>
          <w:bCs/>
        </w:rPr>
      </w:pPr>
      <w:r w:rsidRPr="005501AE">
        <w:rPr>
          <w:rFonts w:ascii="Times" w:hAnsi="Times"/>
          <w:b/>
          <w:bCs/>
        </w:rPr>
        <w:t>Compactness</w:t>
      </w:r>
      <w:r w:rsidR="005501AE" w:rsidRPr="005501AE">
        <w:rPr>
          <w:rFonts w:ascii="Times" w:hAnsi="Times"/>
          <w:b/>
          <w:bCs/>
        </w:rPr>
        <w:t xml:space="preserve"> and Contiguity</w:t>
      </w:r>
    </w:p>
    <w:p w14:paraId="321F09F2" w14:textId="3A512863" w:rsidR="00734B83" w:rsidRPr="00EE1728" w:rsidRDefault="00CA0EB0" w:rsidP="00EE1728">
      <w:pPr>
        <w:spacing w:line="480" w:lineRule="auto"/>
        <w:ind w:firstLine="720"/>
        <w:jc w:val="both"/>
        <w:rPr>
          <w:rFonts w:ascii="Times" w:hAnsi="Times"/>
          <w:b/>
          <w:bCs/>
        </w:rPr>
      </w:pPr>
      <w:r>
        <w:t xml:space="preserve">Clause 6 of the </w:t>
      </w:r>
      <w:r w:rsidR="00734B83">
        <w:t>Code of Virginia</w:t>
      </w:r>
      <w:r>
        <w:t xml:space="preserve"> provides that “Districts shall be composed of contiguous territory, with no district contiguous only by connections by water running downstream or upriver, and political boundaries may be considered.”</w:t>
      </w:r>
      <w:r w:rsidR="00734B83" w:rsidRPr="00734B83">
        <w:rPr>
          <w:rStyle w:val="FootnoteReference"/>
        </w:rPr>
        <w:t xml:space="preserve"> </w:t>
      </w:r>
      <w:r w:rsidR="00734B83">
        <w:rPr>
          <w:rStyle w:val="FootnoteReference"/>
        </w:rPr>
        <w:footnoteReference w:id="28"/>
      </w:r>
      <w:r w:rsidR="00734B83">
        <w:t xml:space="preserve"> </w:t>
      </w:r>
      <w:r w:rsidR="001230CA">
        <w:t xml:space="preserve">All districts in all proposed plans comply with this requirement. In all three plans, however, </w:t>
      </w:r>
      <w:r w:rsidR="00F14950">
        <w:t>the 2</w:t>
      </w:r>
      <w:r w:rsidR="00F14950" w:rsidRPr="00F14950">
        <w:rPr>
          <w:vertAlign w:val="superscript"/>
        </w:rPr>
        <w:t>nd</w:t>
      </w:r>
      <w:r w:rsidR="00F14950">
        <w:t xml:space="preserve"> District presents a minor problem for functional travel continuity. B</w:t>
      </w:r>
      <w:r w:rsidR="00FF5F78">
        <w:t>e</w:t>
      </w:r>
      <w:r w:rsidR="00F14950">
        <w:t>cause the District</w:t>
      </w:r>
      <w:r w:rsidR="000A6235">
        <w:t xml:space="preserve"> in all plans</w:t>
      </w:r>
      <w:r w:rsidR="00F14950">
        <w:t xml:space="preserve"> is </w:t>
      </w:r>
      <w:r w:rsidR="003D2E87">
        <w:t>composed</w:t>
      </w:r>
      <w:r w:rsidR="00F14950">
        <w:t xml:space="preserve"> of the Delmarva Peninsula and portions of the Chesapeake Bay coastline,</w:t>
      </w:r>
      <w:r w:rsidR="0089578C">
        <w:t xml:space="preserve"> there is necessarily a travel contiguity issue under most circumstances. </w:t>
      </w:r>
      <w:r w:rsidR="00B82DFD">
        <w:t xml:space="preserve">Additionally, the Great Dismal Swamp presents a second </w:t>
      </w:r>
      <w:r w:rsidR="00C81766">
        <w:t>functional travel continuity problem in the Communities of Interest Plan.</w:t>
      </w:r>
      <w:r w:rsidR="0089578C">
        <w:t xml:space="preserve"> These travel contiguity issues persist across </w:t>
      </w:r>
      <w:proofErr w:type="spellStart"/>
      <w:r w:rsidR="0089578C">
        <w:t>Grofman-Trende</w:t>
      </w:r>
      <w:proofErr w:type="spellEnd"/>
      <w:r w:rsidR="0089578C">
        <w:t xml:space="preserve"> plan and in the 2016 maps</w:t>
      </w:r>
      <w:r w:rsidR="00316FAA">
        <w:t xml:space="preserve"> due to Virginia’s natural geography</w:t>
      </w:r>
      <w:r w:rsidR="0089578C">
        <w:t>.</w:t>
      </w:r>
      <w:r w:rsidR="00FF5F78">
        <w:rPr>
          <w:rStyle w:val="FootnoteReference"/>
        </w:rPr>
        <w:footnoteReference w:id="29"/>
      </w:r>
    </w:p>
    <w:p w14:paraId="473AA72E" w14:textId="2BEFD7F6" w:rsidR="00734B83" w:rsidRDefault="00734B83" w:rsidP="00734B83">
      <w:pPr>
        <w:spacing w:line="480" w:lineRule="auto"/>
        <w:ind w:firstLine="720"/>
        <w:jc w:val="both"/>
      </w:pPr>
      <w:r>
        <w:t>Clause 7 provides that “Districts shall be composed of compact territory and shall be drawn employing one or more standard numerical measures of individual and average district compactness, both statewide and district by district.”</w:t>
      </w:r>
      <w:r>
        <w:rPr>
          <w:rStyle w:val="FootnoteReference"/>
        </w:rPr>
        <w:footnoteReference w:id="30"/>
      </w:r>
      <w:r w:rsidR="00FF5F78">
        <w:t xml:space="preserve"> All districts in all plans </w:t>
      </w:r>
      <w:r w:rsidR="00013C33">
        <w:t>attempted to maximize compactness to the extent possible. All available compactness measures were considered</w:t>
      </w:r>
      <w:r w:rsidR="00316FAA">
        <w:t xml:space="preserve"> and have been included in this plan</w:t>
      </w:r>
      <w:r w:rsidR="00013C33">
        <w:t>.</w:t>
      </w:r>
    </w:p>
    <w:p w14:paraId="5655CA4C" w14:textId="77777777" w:rsidR="00346214" w:rsidRDefault="00734658" w:rsidP="00346214">
      <w:pPr>
        <w:spacing w:line="480" w:lineRule="auto"/>
        <w:jc w:val="both"/>
        <w:rPr>
          <w:b/>
          <w:bCs/>
        </w:rPr>
      </w:pPr>
      <w:r>
        <w:rPr>
          <w:b/>
          <w:bCs/>
        </w:rPr>
        <w:t>Communities of Interes</w:t>
      </w:r>
      <w:r w:rsidR="00346214">
        <w:rPr>
          <w:b/>
          <w:bCs/>
        </w:rPr>
        <w:t>t</w:t>
      </w:r>
    </w:p>
    <w:p w14:paraId="61FEC3D1" w14:textId="5CC33DFB" w:rsidR="00CA0EB0" w:rsidRPr="00F64318" w:rsidRDefault="006F7F16" w:rsidP="00F64318">
      <w:pPr>
        <w:spacing w:line="480" w:lineRule="auto"/>
        <w:ind w:firstLine="720"/>
        <w:jc w:val="both"/>
      </w:pPr>
      <w:r>
        <w:t xml:space="preserve">The Statutory Criteria </w:t>
      </w:r>
      <w:r w:rsidR="00346214">
        <w:t>also</w:t>
      </w:r>
      <w:r>
        <w:t xml:space="preserve"> provide</w:t>
      </w:r>
      <w:r w:rsidR="00346214">
        <w:t>s</w:t>
      </w:r>
      <w:r>
        <w:t xml:space="preserve"> that “[d]</w:t>
      </w:r>
      <w:proofErr w:type="spellStart"/>
      <w:r>
        <w:t>istricts</w:t>
      </w:r>
      <w:proofErr w:type="spellEnd"/>
      <w:r>
        <w:t xml:space="preserve"> shall be drawn to preserve communities of interest.</w:t>
      </w:r>
      <w:r w:rsidR="00B647B7" w:rsidRPr="00B647B7">
        <w:rPr>
          <w:rStyle w:val="FootnoteReference"/>
        </w:rPr>
        <w:t xml:space="preserve"> </w:t>
      </w:r>
      <w:r w:rsidR="00B647B7">
        <w:rPr>
          <w:rStyle w:val="FootnoteReference"/>
        </w:rPr>
        <w:footnoteReference w:id="31"/>
      </w:r>
      <w:r>
        <w:t xml:space="preserve"> </w:t>
      </w:r>
      <w:r w:rsidR="00346214">
        <w:t xml:space="preserve">Communities of </w:t>
      </w:r>
      <w:r w:rsidR="00B647B7">
        <w:t>i</w:t>
      </w:r>
      <w:r w:rsidR="00346214">
        <w:t>nter</w:t>
      </w:r>
      <w:r w:rsidR="00B647B7">
        <w:t>e</w:t>
      </w:r>
      <w:r w:rsidR="00346214">
        <w:t>st are discussed in detail</w:t>
      </w:r>
      <w:r w:rsidR="00B647B7">
        <w:t xml:space="preserve"> below</w:t>
      </w:r>
      <w:r w:rsidR="00346214">
        <w:t xml:space="preserve"> </w:t>
      </w:r>
      <w:r w:rsidR="00B647B7">
        <w:t xml:space="preserve">in </w:t>
      </w:r>
      <w:r w:rsidR="00316FAA">
        <w:t>the description</w:t>
      </w:r>
      <w:r w:rsidR="00B647B7">
        <w:t xml:space="preserve"> </w:t>
      </w:r>
      <w:r w:rsidR="00B647B7">
        <w:lastRenderedPageBreak/>
        <w:t>of the second plan, but all plans attempted to keep such communities intact to the extent possible.</w:t>
      </w:r>
      <w:r w:rsidR="00316FAA">
        <w:t xml:space="preserve"> </w:t>
      </w:r>
      <w:r w:rsidR="00F64318">
        <w:t xml:space="preserve">Where the Communities of Interest plan considered every sized community of interest, from neighborhoods to entire geographic regions, the Good Government and Proportional Representation plan </w:t>
      </w:r>
      <w:r w:rsidR="00316FAA">
        <w:t>plans paid special attention to</w:t>
      </w:r>
      <w:r w:rsidR="00F64318">
        <w:t xml:space="preserve"> Virginia’s</w:t>
      </w:r>
      <w:r w:rsidR="00316FAA">
        <w:t xml:space="preserve"> large</w:t>
      </w:r>
      <w:r w:rsidR="00F64318">
        <w:t>st</w:t>
      </w:r>
      <w:r w:rsidR="00316FAA">
        <w:t xml:space="preserve"> communities of interest</w:t>
      </w:r>
      <w:r w:rsidR="00F64318">
        <w:t>, including</w:t>
      </w:r>
      <w:r w:rsidR="00316FAA">
        <w:t xml:space="preserve"> the Appalachian, Shenandoah, Blue Ridge Mountains</w:t>
      </w:r>
      <w:r w:rsidR="00F64318">
        <w:t xml:space="preserve">, and Tidewater Regions, as well as the </w:t>
      </w:r>
      <w:r w:rsidR="00F64318">
        <w:t>D.C. Suburbs,</w:t>
      </w:r>
      <w:r w:rsidR="00F64318">
        <w:t xml:space="preserve"> and other major urban areas.</w:t>
      </w:r>
    </w:p>
    <w:p w14:paraId="13DF5490" w14:textId="77777777" w:rsidR="00A8541F" w:rsidRPr="00A8541F" w:rsidRDefault="000B212E" w:rsidP="00A8541F">
      <w:pPr>
        <w:pStyle w:val="ListParagraph"/>
        <w:numPr>
          <w:ilvl w:val="0"/>
          <w:numId w:val="2"/>
        </w:numPr>
        <w:spacing w:line="480" w:lineRule="auto"/>
        <w:jc w:val="center"/>
        <w:rPr>
          <w:rFonts w:ascii="Times" w:hAnsi="Times"/>
          <w:sz w:val="32"/>
          <w:szCs w:val="32"/>
        </w:rPr>
      </w:pPr>
      <w:r w:rsidRPr="00CA51CE">
        <w:rPr>
          <w:rFonts w:ascii="Times" w:hAnsi="Times"/>
          <w:b/>
          <w:bCs/>
          <w:sz w:val="32"/>
          <w:szCs w:val="32"/>
        </w:rPr>
        <w:t>Good Government Pla</w:t>
      </w:r>
      <w:r w:rsidR="00A8541F" w:rsidRPr="00CA51CE">
        <w:rPr>
          <w:rFonts w:ascii="Times" w:hAnsi="Times"/>
          <w:b/>
          <w:bCs/>
          <w:sz w:val="32"/>
          <w:szCs w:val="32"/>
        </w:rPr>
        <w:t>n</w:t>
      </w:r>
      <w:r w:rsidR="00A8541F">
        <w:rPr>
          <w:noProof/>
        </w:rPr>
        <w:drawing>
          <wp:inline distT="0" distB="0" distL="0" distR="0" wp14:anchorId="0624E1DC" wp14:editId="4FF95823">
            <wp:extent cx="4189751" cy="1764978"/>
            <wp:effectExtent l="0" t="0" r="1270" b="635"/>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4202297" cy="1770263"/>
                    </a:xfrm>
                    <a:prstGeom prst="rect">
                      <a:avLst/>
                    </a:prstGeom>
                  </pic:spPr>
                </pic:pic>
              </a:graphicData>
            </a:graphic>
          </wp:inline>
        </w:drawing>
      </w:r>
    </w:p>
    <w:p w14:paraId="0C6BDBEA" w14:textId="087C74AC" w:rsidR="00A8541F" w:rsidRPr="00A8541F" w:rsidRDefault="00A8541F" w:rsidP="00A8541F">
      <w:pPr>
        <w:spacing w:line="480" w:lineRule="auto"/>
        <w:rPr>
          <w:rFonts w:ascii="Times" w:hAnsi="Times"/>
          <w:b/>
          <w:bCs/>
          <w:sz w:val="32"/>
          <w:szCs w:val="32"/>
        </w:rPr>
      </w:pPr>
      <w:r w:rsidRPr="00A8541F">
        <w:rPr>
          <w:rFonts w:ascii="TimesNewRomanPSMT" w:hAnsi="TimesNewRomanPSMT"/>
          <w:b/>
          <w:bCs/>
          <w:sz w:val="22"/>
          <w:szCs w:val="22"/>
        </w:rPr>
        <w:t>Redistricting Principles and Map Summary</w:t>
      </w:r>
    </w:p>
    <w:p w14:paraId="20FA2530" w14:textId="65635024" w:rsidR="000B212E" w:rsidRPr="006A4CDE" w:rsidRDefault="000B212E" w:rsidP="00F64318">
      <w:pPr>
        <w:spacing w:line="480" w:lineRule="auto"/>
        <w:ind w:firstLine="720"/>
        <w:rPr>
          <w:rFonts w:ascii="Times" w:hAnsi="Times"/>
          <w:b/>
          <w:bCs/>
          <w:u w:val="single"/>
        </w:rPr>
      </w:pPr>
      <w:r w:rsidRPr="000B212E">
        <w:rPr>
          <w:rFonts w:ascii="Times" w:hAnsi="Times"/>
        </w:rPr>
        <w:t xml:space="preserve">Overall, this plan succeeds at </w:t>
      </w:r>
      <w:r w:rsidR="00090EA7">
        <w:rPr>
          <w:rFonts w:ascii="Times" w:hAnsi="Times"/>
        </w:rPr>
        <w:t>attempting to draw compact, coherent districts and minimizing county, city, and communities of interest splits</w:t>
      </w:r>
      <w:r w:rsidRPr="000B212E">
        <w:rPr>
          <w:rFonts w:ascii="Times" w:hAnsi="Times"/>
        </w:rPr>
        <w:t xml:space="preserve">. </w:t>
      </w:r>
      <w:r w:rsidR="00090EA7">
        <w:rPr>
          <w:rFonts w:ascii="Times" w:hAnsi="Times"/>
        </w:rPr>
        <w:t>As discussed above, i</w:t>
      </w:r>
      <w:r w:rsidRPr="000B212E">
        <w:rPr>
          <w:rFonts w:ascii="Times" w:hAnsi="Times"/>
        </w:rPr>
        <w:t>t complies with all federal and state requirements, increases Black populations in</w:t>
      </w:r>
      <w:r w:rsidR="00090EA7">
        <w:rPr>
          <w:rFonts w:ascii="Times" w:hAnsi="Times"/>
        </w:rPr>
        <w:t xml:space="preserve"> the 3</w:t>
      </w:r>
      <w:r w:rsidR="00090EA7" w:rsidRPr="00090EA7">
        <w:rPr>
          <w:rFonts w:ascii="Times" w:hAnsi="Times"/>
          <w:vertAlign w:val="superscript"/>
        </w:rPr>
        <w:t>rd</w:t>
      </w:r>
      <w:r w:rsidR="00090EA7">
        <w:rPr>
          <w:rFonts w:ascii="Times" w:hAnsi="Times"/>
        </w:rPr>
        <w:t xml:space="preserve"> and 4</w:t>
      </w:r>
      <w:r w:rsidR="00090EA7" w:rsidRPr="00090EA7">
        <w:rPr>
          <w:rFonts w:ascii="Times" w:hAnsi="Times"/>
          <w:vertAlign w:val="superscript"/>
        </w:rPr>
        <w:t>th</w:t>
      </w:r>
      <w:r w:rsidR="00090EA7">
        <w:rPr>
          <w:rFonts w:ascii="Times" w:hAnsi="Times"/>
        </w:rPr>
        <w:t xml:space="preserve"> D</w:t>
      </w:r>
      <w:r w:rsidRPr="000B212E">
        <w:rPr>
          <w:rFonts w:ascii="Times" w:hAnsi="Times"/>
        </w:rPr>
        <w:t xml:space="preserve">istricts </w:t>
      </w:r>
      <w:r w:rsidR="00090EA7">
        <w:rPr>
          <w:rFonts w:ascii="Times" w:hAnsi="Times"/>
        </w:rPr>
        <w:t>relative to 2016 levels</w:t>
      </w:r>
      <w:r w:rsidRPr="000B212E">
        <w:rPr>
          <w:rFonts w:ascii="Times" w:hAnsi="Times"/>
        </w:rPr>
        <w:t xml:space="preserve">, and generally follows county and municipal lines, or else highways and other natural boundaries. However, prioritizing compactness and one-person, one-vote and VRA compliance necessitated a higher number of political subdivision splits than </w:t>
      </w:r>
      <w:r w:rsidR="0055428B">
        <w:rPr>
          <w:rFonts w:ascii="Times" w:hAnsi="Times"/>
        </w:rPr>
        <w:t>was</w:t>
      </w:r>
      <w:r w:rsidRPr="000B212E">
        <w:rPr>
          <w:rFonts w:ascii="Times" w:hAnsi="Times"/>
        </w:rPr>
        <w:t xml:space="preserve"> ideal.</w:t>
      </w:r>
      <w:r w:rsidR="00B25CD8">
        <w:rPr>
          <w:rFonts w:ascii="Times" w:hAnsi="Times"/>
        </w:rPr>
        <w:t xml:space="preserve"> The 2016 plan split</w:t>
      </w:r>
      <w:r w:rsidR="00C5192E">
        <w:rPr>
          <w:rFonts w:ascii="Times" w:hAnsi="Times"/>
        </w:rPr>
        <w:t>s</w:t>
      </w:r>
      <w:r w:rsidR="00B25CD8">
        <w:rPr>
          <w:rFonts w:ascii="Times" w:hAnsi="Times"/>
        </w:rPr>
        <w:t xml:space="preserve"> 14 counties</w:t>
      </w:r>
      <w:r w:rsidR="00436468">
        <w:rPr>
          <w:rFonts w:ascii="Times" w:hAnsi="Times"/>
        </w:rPr>
        <w:t xml:space="preserve">, while the </w:t>
      </w:r>
      <w:proofErr w:type="spellStart"/>
      <w:r w:rsidR="00436468">
        <w:rPr>
          <w:rFonts w:ascii="Times" w:hAnsi="Times"/>
        </w:rPr>
        <w:t>Grofman-Trende</w:t>
      </w:r>
      <w:proofErr w:type="spellEnd"/>
      <w:r w:rsidR="00436468">
        <w:rPr>
          <w:rFonts w:ascii="Times" w:hAnsi="Times"/>
        </w:rPr>
        <w:t xml:space="preserve"> plan splits 9 counties</w:t>
      </w:r>
      <w:r w:rsidR="00C2796A">
        <w:rPr>
          <w:rFonts w:ascii="Times" w:hAnsi="Times"/>
        </w:rPr>
        <w:t xml:space="preserve">. </w:t>
      </w:r>
      <w:r w:rsidR="00C5192E">
        <w:rPr>
          <w:rFonts w:ascii="Times" w:hAnsi="Times"/>
        </w:rPr>
        <w:t>Th</w:t>
      </w:r>
      <w:r w:rsidR="009661BE">
        <w:rPr>
          <w:rFonts w:ascii="Times" w:hAnsi="Times"/>
        </w:rPr>
        <w:t>is</w:t>
      </w:r>
      <w:r w:rsidR="00C5192E">
        <w:rPr>
          <w:rFonts w:ascii="Times" w:hAnsi="Times"/>
        </w:rPr>
        <w:t xml:space="preserve"> Good Government plan splits only 13 counties</w:t>
      </w:r>
      <w:r w:rsidR="009661BE">
        <w:rPr>
          <w:rFonts w:ascii="Times" w:hAnsi="Times"/>
        </w:rPr>
        <w:t>, making it more compact and cohesive than the previously enacted plans but less so than the currently enacted ones</w:t>
      </w:r>
      <w:r w:rsidR="00F5453E">
        <w:rPr>
          <w:rFonts w:ascii="Times" w:hAnsi="Times"/>
        </w:rPr>
        <w:t>.</w:t>
      </w:r>
      <w:r w:rsidR="009661BE">
        <w:rPr>
          <w:rFonts w:ascii="Times" w:hAnsi="Times"/>
        </w:rPr>
        <w:t xml:space="preserve"> </w:t>
      </w:r>
      <w:r w:rsidR="00F5453E">
        <w:rPr>
          <w:rFonts w:ascii="Times" w:hAnsi="Times"/>
        </w:rPr>
        <w:t>However,</w:t>
      </w:r>
      <w:r w:rsidR="009661BE">
        <w:rPr>
          <w:rFonts w:ascii="Times" w:hAnsi="Times"/>
        </w:rPr>
        <w:t xml:space="preserve"> the </w:t>
      </w:r>
      <w:proofErr w:type="spellStart"/>
      <w:r w:rsidR="009661BE">
        <w:rPr>
          <w:rFonts w:ascii="Times" w:hAnsi="Times"/>
        </w:rPr>
        <w:t>Grofman-Trende</w:t>
      </w:r>
      <w:proofErr w:type="spellEnd"/>
      <w:r w:rsidR="009661BE">
        <w:rPr>
          <w:rFonts w:ascii="Times" w:hAnsi="Times"/>
        </w:rPr>
        <w:t xml:space="preserve"> </w:t>
      </w:r>
      <w:r w:rsidR="001B217C">
        <w:rPr>
          <w:rFonts w:ascii="Times" w:hAnsi="Times"/>
        </w:rPr>
        <w:t xml:space="preserve">is not one person-one vote compliant and therefore did not require as many </w:t>
      </w:r>
      <w:proofErr w:type="gramStart"/>
      <w:r w:rsidR="00955BFE">
        <w:rPr>
          <w:rFonts w:ascii="Times" w:hAnsi="Times"/>
        </w:rPr>
        <w:t>subdivision</w:t>
      </w:r>
      <w:proofErr w:type="gramEnd"/>
      <w:r w:rsidR="001B217C">
        <w:rPr>
          <w:rFonts w:ascii="Times" w:hAnsi="Times"/>
        </w:rPr>
        <w:t xml:space="preserve"> splits</w:t>
      </w:r>
      <w:r w:rsidR="006A4CDE" w:rsidRPr="006A4CDE">
        <w:rPr>
          <w:rFonts w:ascii="Times" w:hAnsi="Times"/>
        </w:rPr>
        <w:t>.</w:t>
      </w:r>
      <w:r w:rsidR="00F5453E">
        <w:rPr>
          <w:rFonts w:ascii="Times" w:hAnsi="Times"/>
        </w:rPr>
        <w:t xml:space="preserve"> This </w:t>
      </w:r>
      <w:r w:rsidR="00F5453E">
        <w:rPr>
          <w:rFonts w:ascii="Times" w:hAnsi="Times"/>
        </w:rPr>
        <w:lastRenderedPageBreak/>
        <w:t>illustrates th</w:t>
      </w:r>
      <w:r w:rsidR="008A465B">
        <w:rPr>
          <w:rFonts w:ascii="Times" w:hAnsi="Times"/>
        </w:rPr>
        <w:t xml:space="preserve">e difficult tradeoff between seeking perfectly equal representation and keeping political subdivisions intact. </w:t>
      </w:r>
      <w:r w:rsidR="00955BFE">
        <w:rPr>
          <w:rFonts w:ascii="Times" w:hAnsi="Times"/>
        </w:rPr>
        <w:t xml:space="preserve">I decided to prioritize the former because </w:t>
      </w:r>
      <w:r w:rsidR="00F5618E">
        <w:rPr>
          <w:rFonts w:ascii="Times" w:hAnsi="Times"/>
        </w:rPr>
        <w:t>I believe vote dilution is a greater harm than pulling some, but not all, county residents into a different voting district.</w:t>
      </w:r>
      <w:r w:rsidR="006A4CDE" w:rsidRPr="006A4CDE">
        <w:rPr>
          <w:rFonts w:ascii="Times" w:hAnsi="Times"/>
        </w:rPr>
        <w:t xml:space="preserve"> </w:t>
      </w:r>
      <w:r w:rsidR="006A4CDE">
        <w:rPr>
          <w:rFonts w:ascii="Times" w:hAnsi="Times"/>
        </w:rPr>
        <w:t xml:space="preserve">Using </w:t>
      </w:r>
      <w:proofErr w:type="spellStart"/>
      <w:r w:rsidR="006A4CDE">
        <w:rPr>
          <w:rFonts w:ascii="Times" w:hAnsi="Times"/>
        </w:rPr>
        <w:t>Reock</w:t>
      </w:r>
      <w:proofErr w:type="spellEnd"/>
      <w:r w:rsidR="006A4CDE">
        <w:rPr>
          <w:rFonts w:ascii="Times" w:hAnsi="Times"/>
        </w:rPr>
        <w:t xml:space="preserve"> scores, </w:t>
      </w:r>
      <w:r w:rsidR="000C3A39" w:rsidRPr="00BA1902">
        <w:rPr>
          <w:rFonts w:ascii="Times" w:hAnsi="Times"/>
        </w:rPr>
        <w:t>this</w:t>
      </w:r>
      <w:r w:rsidR="006A4CDE" w:rsidRPr="00BA1902">
        <w:rPr>
          <w:rFonts w:ascii="Times" w:hAnsi="Times"/>
        </w:rPr>
        <w:t xml:space="preserve"> map is similarly or more compact than the </w:t>
      </w:r>
      <w:proofErr w:type="spellStart"/>
      <w:r w:rsidR="006A4CDE" w:rsidRPr="00BA1902">
        <w:rPr>
          <w:rFonts w:ascii="Times" w:hAnsi="Times"/>
        </w:rPr>
        <w:t>Grofman-Trende</w:t>
      </w:r>
      <w:proofErr w:type="spellEnd"/>
      <w:r w:rsidR="006A4CDE" w:rsidRPr="00BA1902">
        <w:rPr>
          <w:rFonts w:ascii="Times" w:hAnsi="Times"/>
        </w:rPr>
        <w:t xml:space="preserve"> Plan in all but 3 districts</w:t>
      </w:r>
      <w:r w:rsidR="006A4CDE">
        <w:rPr>
          <w:rFonts w:ascii="Times" w:hAnsi="Times"/>
        </w:rPr>
        <w:t>: the</w:t>
      </w:r>
      <w:r w:rsidR="006A4CDE" w:rsidRPr="00BA1902">
        <w:rPr>
          <w:rFonts w:ascii="Times" w:hAnsi="Times"/>
        </w:rPr>
        <w:t xml:space="preserve"> 5</w:t>
      </w:r>
      <w:r w:rsidR="006A4CDE" w:rsidRPr="00BA1902">
        <w:rPr>
          <w:rFonts w:ascii="Times" w:hAnsi="Times"/>
          <w:vertAlign w:val="superscript"/>
        </w:rPr>
        <w:t>th</w:t>
      </w:r>
      <w:r w:rsidR="006A4CDE" w:rsidRPr="00BA1902">
        <w:rPr>
          <w:rFonts w:ascii="Times" w:hAnsi="Times"/>
        </w:rPr>
        <w:t xml:space="preserve"> and 7</w:t>
      </w:r>
      <w:r w:rsidR="006A4CDE" w:rsidRPr="00BA1902">
        <w:rPr>
          <w:rFonts w:ascii="Times" w:hAnsi="Times"/>
          <w:vertAlign w:val="superscript"/>
        </w:rPr>
        <w:t>th</w:t>
      </w:r>
      <w:r w:rsidR="006A4CDE" w:rsidRPr="00BA1902">
        <w:rPr>
          <w:rFonts w:ascii="Times" w:hAnsi="Times"/>
        </w:rPr>
        <w:t>, 11</w:t>
      </w:r>
      <w:r w:rsidR="006A4CDE" w:rsidRPr="00BA1902">
        <w:rPr>
          <w:rFonts w:ascii="Times" w:hAnsi="Times"/>
          <w:vertAlign w:val="superscript"/>
        </w:rPr>
        <w:t>th</w:t>
      </w:r>
      <w:r w:rsidR="006A4CDE">
        <w:rPr>
          <w:rFonts w:ascii="Times" w:hAnsi="Times"/>
        </w:rPr>
        <w:t xml:space="preserve">. </w:t>
      </w:r>
      <w:r w:rsidR="001C57AF">
        <w:rPr>
          <w:rFonts w:ascii="Times" w:hAnsi="Times"/>
        </w:rPr>
        <w:t xml:space="preserve">Given the </w:t>
      </w:r>
      <w:proofErr w:type="spellStart"/>
      <w:r w:rsidR="001C57AF">
        <w:rPr>
          <w:rFonts w:ascii="Times" w:hAnsi="Times"/>
        </w:rPr>
        <w:t>Grofman-Trende</w:t>
      </w:r>
      <w:proofErr w:type="spellEnd"/>
      <w:r w:rsidR="001C57AF">
        <w:rPr>
          <w:rFonts w:ascii="Times" w:hAnsi="Times"/>
        </w:rPr>
        <w:t xml:space="preserve"> plan is twice as compact as the existing plan, this plan is the most compact of all three.</w:t>
      </w:r>
      <w:r w:rsidR="001C57AF">
        <w:rPr>
          <w:rStyle w:val="FootnoteReference"/>
          <w:rFonts w:ascii="Times" w:hAnsi="Times"/>
        </w:rPr>
        <w:footnoteReference w:id="32"/>
      </w:r>
    </w:p>
    <w:p w14:paraId="46134B59" w14:textId="40EC7CB0" w:rsidR="00A8541F" w:rsidRPr="00AC4C6E" w:rsidRDefault="00A8541F" w:rsidP="009B72DC">
      <w:pPr>
        <w:spacing w:line="480" w:lineRule="auto"/>
        <w:rPr>
          <w:rFonts w:ascii="TimesNewRomanPSMT" w:hAnsi="TimesNewRomanPSMT"/>
          <w:b/>
          <w:bCs/>
        </w:rPr>
      </w:pPr>
      <w:r w:rsidRPr="00AC4C6E">
        <w:rPr>
          <w:rFonts w:ascii="TimesNewRomanPSMT" w:hAnsi="TimesNewRomanPSMT"/>
          <w:b/>
          <w:bCs/>
        </w:rPr>
        <w:t>Map Explanation</w:t>
      </w:r>
    </w:p>
    <w:p w14:paraId="078B43BC" w14:textId="398E6F61" w:rsidR="00763AD3" w:rsidRDefault="00501289" w:rsidP="009B72DC">
      <w:pPr>
        <w:spacing w:line="480" w:lineRule="auto"/>
        <w:rPr>
          <w:rFonts w:ascii="Times" w:hAnsi="Times"/>
          <w:u w:val="single"/>
        </w:rPr>
      </w:pPr>
      <w:r>
        <w:rPr>
          <w:noProof/>
        </w:rPr>
        <w:drawing>
          <wp:anchor distT="0" distB="0" distL="114300" distR="114300" simplePos="0" relativeHeight="251665408" behindDoc="1" locked="0" layoutInCell="1" allowOverlap="1" wp14:anchorId="2E9E20A7" wp14:editId="147F16FE">
            <wp:simplePos x="0" y="0"/>
            <wp:positionH relativeFrom="column">
              <wp:posOffset>-575945</wp:posOffset>
            </wp:positionH>
            <wp:positionV relativeFrom="paragraph">
              <wp:posOffset>421640</wp:posOffset>
            </wp:positionV>
            <wp:extent cx="3683635" cy="2962910"/>
            <wp:effectExtent l="0" t="0" r="0" b="0"/>
            <wp:wrapTight wrapText="bothSides">
              <wp:wrapPolygon edited="0">
                <wp:start x="0" y="0"/>
                <wp:lineTo x="0" y="21480"/>
                <wp:lineTo x="21522" y="21480"/>
                <wp:lineTo x="21522" y="0"/>
                <wp:lineTo x="0" y="0"/>
              </wp:wrapPolygon>
            </wp:wrapTight>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83635" cy="2962910"/>
                    </a:xfrm>
                    <a:prstGeom prst="rect">
                      <a:avLst/>
                    </a:prstGeom>
                  </pic:spPr>
                </pic:pic>
              </a:graphicData>
            </a:graphic>
            <wp14:sizeRelH relativeFrom="page">
              <wp14:pctWidth>0</wp14:pctWidth>
            </wp14:sizeRelH>
            <wp14:sizeRelV relativeFrom="page">
              <wp14:pctHeight>0</wp14:pctHeight>
            </wp14:sizeRelV>
          </wp:anchor>
        </w:drawing>
      </w:r>
      <w:r w:rsidR="00AD2F06">
        <w:rPr>
          <w:noProof/>
        </w:rPr>
        <w:drawing>
          <wp:anchor distT="0" distB="0" distL="114300" distR="114300" simplePos="0" relativeHeight="251664384" behindDoc="1" locked="0" layoutInCell="1" allowOverlap="1" wp14:anchorId="2E66F9DA" wp14:editId="395F8CD8">
            <wp:simplePos x="0" y="0"/>
            <wp:positionH relativeFrom="column">
              <wp:posOffset>3234055</wp:posOffset>
            </wp:positionH>
            <wp:positionV relativeFrom="paragraph">
              <wp:posOffset>180975</wp:posOffset>
            </wp:positionV>
            <wp:extent cx="3133090" cy="3826510"/>
            <wp:effectExtent l="0" t="0" r="3810" b="0"/>
            <wp:wrapTight wrapText="bothSides">
              <wp:wrapPolygon edited="0">
                <wp:start x="0" y="0"/>
                <wp:lineTo x="0" y="21507"/>
                <wp:lineTo x="21539" y="21507"/>
                <wp:lineTo x="21539" y="0"/>
                <wp:lineTo x="0" y="0"/>
              </wp:wrapPolygon>
            </wp:wrapTight>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33090" cy="3826510"/>
                    </a:xfrm>
                    <a:prstGeom prst="rect">
                      <a:avLst/>
                    </a:prstGeom>
                  </pic:spPr>
                </pic:pic>
              </a:graphicData>
            </a:graphic>
            <wp14:sizeRelH relativeFrom="page">
              <wp14:pctWidth>0</wp14:pctWidth>
            </wp14:sizeRelH>
            <wp14:sizeRelV relativeFrom="page">
              <wp14:pctHeight>0</wp14:pctHeight>
            </wp14:sizeRelV>
          </wp:anchor>
        </w:drawing>
      </w:r>
      <w:r w:rsidR="0073734D" w:rsidRPr="00AC4C6E">
        <w:rPr>
          <w:rFonts w:ascii="Times" w:hAnsi="Times"/>
          <w:u w:val="single"/>
        </w:rPr>
        <w:t>D.C. Suburbs</w:t>
      </w:r>
      <w:r w:rsidR="00101923" w:rsidRPr="00AC4C6E">
        <w:rPr>
          <w:rFonts w:ascii="Times" w:hAnsi="Times"/>
          <w:u w:val="single"/>
        </w:rPr>
        <w:t xml:space="preserve"> and Northern </w:t>
      </w:r>
      <w:proofErr w:type="gramStart"/>
      <w:r w:rsidR="00101923" w:rsidRPr="00AC4C6E">
        <w:rPr>
          <w:rFonts w:ascii="Times" w:hAnsi="Times"/>
          <w:u w:val="single"/>
        </w:rPr>
        <w:t>Virginia</w:t>
      </w:r>
      <w:r w:rsidR="0033662A">
        <w:rPr>
          <w:rFonts w:ascii="Times" w:hAnsi="Times"/>
          <w:u w:val="single"/>
        </w:rPr>
        <w:t xml:space="preserve"> </w:t>
      </w:r>
      <w:r w:rsidR="0073734D" w:rsidRPr="00AC4C6E">
        <w:rPr>
          <w:rFonts w:ascii="Times" w:hAnsi="Times"/>
          <w:u w:val="single"/>
        </w:rPr>
        <w:t>:</w:t>
      </w:r>
      <w:proofErr w:type="gramEnd"/>
      <w:r w:rsidR="0073734D" w:rsidRPr="00AC4C6E">
        <w:rPr>
          <w:rFonts w:ascii="Times" w:hAnsi="Times"/>
          <w:u w:val="single"/>
        </w:rPr>
        <w:t xml:space="preserve"> Districts 8, 10, 11</w:t>
      </w:r>
    </w:p>
    <w:p w14:paraId="70EB3A86" w14:textId="58BAFF40" w:rsidR="00FE508A" w:rsidRDefault="00FE508A" w:rsidP="00FE508A">
      <w:r>
        <w:fldChar w:fldCharType="begin"/>
      </w:r>
      <w:r>
        <w:instrText xml:space="preserve"> INCLUDEPICTURE "https://drawcongress.org/wp-content/uploads/Screen-Shot-2022-03-29-at-2.28.39-PM.png" \* MERGEFORMATINET </w:instrText>
      </w:r>
      <w:r w:rsidR="0069726F">
        <w:fldChar w:fldCharType="separate"/>
      </w:r>
      <w:r>
        <w:fldChar w:fldCharType="end"/>
      </w:r>
    </w:p>
    <w:p w14:paraId="6C1A3B76" w14:textId="386F09F1" w:rsidR="00E56741" w:rsidRDefault="00C40D92" w:rsidP="009B72DC">
      <w:pPr>
        <w:spacing w:line="480" w:lineRule="auto"/>
        <w:ind w:firstLine="720"/>
        <w:rPr>
          <w:rFonts w:ascii="Times" w:hAnsi="Times"/>
        </w:rPr>
      </w:pPr>
      <w:r>
        <w:rPr>
          <w:rFonts w:ascii="Times" w:hAnsi="Times"/>
        </w:rPr>
        <w:t xml:space="preserve">I began by drawing the urban and suburban districts </w:t>
      </w:r>
      <w:r w:rsidR="00FC4BC9">
        <w:rPr>
          <w:rFonts w:ascii="Times" w:hAnsi="Times"/>
        </w:rPr>
        <w:t>surrounding Washington, D.C.: the 8</w:t>
      </w:r>
      <w:r w:rsidR="00FC4BC9" w:rsidRPr="00FC4BC9">
        <w:rPr>
          <w:rFonts w:ascii="Times" w:hAnsi="Times"/>
          <w:vertAlign w:val="superscript"/>
        </w:rPr>
        <w:t>th</w:t>
      </w:r>
      <w:r w:rsidR="00FC4BC9">
        <w:rPr>
          <w:rFonts w:ascii="Times" w:hAnsi="Times"/>
        </w:rPr>
        <w:t>, 10</w:t>
      </w:r>
      <w:r w:rsidR="00FC4BC9" w:rsidRPr="00FC4BC9">
        <w:rPr>
          <w:rFonts w:ascii="Times" w:hAnsi="Times"/>
          <w:vertAlign w:val="superscript"/>
        </w:rPr>
        <w:t>th</w:t>
      </w:r>
      <w:r w:rsidR="00FC4BC9">
        <w:rPr>
          <w:rFonts w:ascii="Times" w:hAnsi="Times"/>
        </w:rPr>
        <w:t>, and 11</w:t>
      </w:r>
      <w:r w:rsidR="00FC4BC9" w:rsidRPr="00FC4BC9">
        <w:rPr>
          <w:rFonts w:ascii="Times" w:hAnsi="Times"/>
          <w:vertAlign w:val="superscript"/>
        </w:rPr>
        <w:t>th</w:t>
      </w:r>
      <w:r w:rsidR="00FC4BC9">
        <w:rPr>
          <w:rFonts w:ascii="Times" w:hAnsi="Times"/>
        </w:rPr>
        <w:t xml:space="preserve"> Districts.</w:t>
      </w:r>
      <w:r w:rsidR="00E56741">
        <w:rPr>
          <w:rFonts w:ascii="Times" w:hAnsi="Times"/>
        </w:rPr>
        <w:t xml:space="preserve"> To best preserve communities of interest and draw clean lines, I drew these districts as three nested within each</w:t>
      </w:r>
      <w:r w:rsidR="00BE6CA0">
        <w:rPr>
          <w:rFonts w:ascii="Times" w:hAnsi="Times"/>
        </w:rPr>
        <w:t xml:space="preserve"> </w:t>
      </w:r>
      <w:r w:rsidR="00E56741">
        <w:rPr>
          <w:rFonts w:ascii="Times" w:hAnsi="Times"/>
        </w:rPr>
        <w:t>other. I began with the 8</w:t>
      </w:r>
      <w:r w:rsidR="00E56741" w:rsidRPr="00E56741">
        <w:rPr>
          <w:rFonts w:ascii="Times" w:hAnsi="Times"/>
          <w:vertAlign w:val="superscript"/>
        </w:rPr>
        <w:t>th</w:t>
      </w:r>
      <w:r w:rsidR="00E56741">
        <w:rPr>
          <w:rFonts w:ascii="Times" w:hAnsi="Times"/>
        </w:rPr>
        <w:t xml:space="preserve"> District, tracing the </w:t>
      </w:r>
      <w:r w:rsidR="00BE6CA0">
        <w:rPr>
          <w:rFonts w:ascii="Times" w:hAnsi="Times"/>
        </w:rPr>
        <w:t xml:space="preserve">Capital </w:t>
      </w:r>
      <w:r w:rsidR="00E56741">
        <w:rPr>
          <w:rFonts w:ascii="Times" w:hAnsi="Times"/>
        </w:rPr>
        <w:t>Beltway</w:t>
      </w:r>
      <w:r w:rsidR="00BE6CA0">
        <w:rPr>
          <w:rFonts w:ascii="Times" w:hAnsi="Times"/>
        </w:rPr>
        <w:t xml:space="preserve"> (Interstate 495) as closely as </w:t>
      </w:r>
      <w:r w:rsidR="00BE6CA0">
        <w:rPr>
          <w:rFonts w:ascii="Times" w:hAnsi="Times"/>
        </w:rPr>
        <w:lastRenderedPageBreak/>
        <w:t>possible. Because the area is densely populated, the 8</w:t>
      </w:r>
      <w:r w:rsidR="00BE6CA0" w:rsidRPr="00BE6CA0">
        <w:rPr>
          <w:rFonts w:ascii="Times" w:hAnsi="Times"/>
          <w:vertAlign w:val="superscript"/>
        </w:rPr>
        <w:t>th</w:t>
      </w:r>
      <w:r w:rsidR="00BE6CA0">
        <w:rPr>
          <w:rFonts w:ascii="Times" w:hAnsi="Times"/>
        </w:rPr>
        <w:t xml:space="preserve"> District contain</w:t>
      </w:r>
      <w:r w:rsidR="004043CD">
        <w:rPr>
          <w:rFonts w:ascii="Times" w:hAnsi="Times"/>
        </w:rPr>
        <w:t>s</w:t>
      </w:r>
      <w:r w:rsidR="00BE6CA0">
        <w:rPr>
          <w:rFonts w:ascii="Times" w:hAnsi="Times"/>
        </w:rPr>
        <w:t xml:space="preserve"> only Arlin</w:t>
      </w:r>
      <w:r w:rsidR="004043CD">
        <w:rPr>
          <w:rFonts w:ascii="Times" w:hAnsi="Times"/>
        </w:rPr>
        <w:t>gton and parts of Fairfax. The 1</w:t>
      </w:r>
      <w:r w:rsidR="00EE2817">
        <w:rPr>
          <w:rFonts w:ascii="Times" w:hAnsi="Times"/>
        </w:rPr>
        <w:t>1</w:t>
      </w:r>
      <w:r w:rsidR="004043CD" w:rsidRPr="004043CD">
        <w:rPr>
          <w:rFonts w:ascii="Times" w:hAnsi="Times"/>
          <w:vertAlign w:val="superscript"/>
        </w:rPr>
        <w:t>th</w:t>
      </w:r>
      <w:r w:rsidR="004043CD">
        <w:rPr>
          <w:rFonts w:ascii="Times" w:hAnsi="Times"/>
        </w:rPr>
        <w:t xml:space="preserve"> contains </w:t>
      </w:r>
      <w:r w:rsidR="00EE2817">
        <w:rPr>
          <w:rFonts w:ascii="Times" w:hAnsi="Times"/>
        </w:rPr>
        <w:t>Fairfax exclusively, while the 11</w:t>
      </w:r>
      <w:r w:rsidR="00EE2817" w:rsidRPr="00EE2817">
        <w:rPr>
          <w:rFonts w:ascii="Times" w:hAnsi="Times"/>
          <w:vertAlign w:val="superscript"/>
        </w:rPr>
        <w:t>th</w:t>
      </w:r>
      <w:r w:rsidR="00EE2817">
        <w:rPr>
          <w:rFonts w:ascii="Times" w:hAnsi="Times"/>
        </w:rPr>
        <w:t xml:space="preserve"> contains Fairfax, and portions of Prince William and </w:t>
      </w:r>
      <w:r w:rsidR="002416C2">
        <w:rPr>
          <w:rFonts w:ascii="Times" w:hAnsi="Times"/>
        </w:rPr>
        <w:t>Loudon counties. In drawing these districts, I minimized municipality splits amongst Northern Virginia towns</w:t>
      </w:r>
      <w:r w:rsidR="00F90A82">
        <w:rPr>
          <w:rFonts w:ascii="Times" w:hAnsi="Times"/>
        </w:rPr>
        <w:t xml:space="preserve">, keeping Franconia, Sterling, Reston, and Lorton </w:t>
      </w:r>
      <w:r w:rsidR="00934745">
        <w:rPr>
          <w:rFonts w:ascii="Times" w:hAnsi="Times"/>
        </w:rPr>
        <w:t xml:space="preserve">entirely </w:t>
      </w:r>
      <w:r w:rsidR="00DB416D">
        <w:rPr>
          <w:noProof/>
        </w:rPr>
        <w:drawing>
          <wp:anchor distT="0" distB="0" distL="114300" distR="114300" simplePos="0" relativeHeight="251663360" behindDoc="1" locked="0" layoutInCell="1" allowOverlap="1" wp14:anchorId="3EBB467E" wp14:editId="755B721C">
            <wp:simplePos x="0" y="0"/>
            <wp:positionH relativeFrom="column">
              <wp:posOffset>16510</wp:posOffset>
            </wp:positionH>
            <wp:positionV relativeFrom="paragraph">
              <wp:posOffset>1601470</wp:posOffset>
            </wp:positionV>
            <wp:extent cx="2505075" cy="3005455"/>
            <wp:effectExtent l="0" t="0" r="0" b="4445"/>
            <wp:wrapTight wrapText="bothSides">
              <wp:wrapPolygon edited="0">
                <wp:start x="0" y="0"/>
                <wp:lineTo x="0" y="21541"/>
                <wp:lineTo x="21463" y="21541"/>
                <wp:lineTo x="21463" y="0"/>
                <wp:lineTo x="0" y="0"/>
              </wp:wrapPolygon>
            </wp:wrapTight>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rotWithShape="1">
                    <a:blip r:embed="rId15" cstate="print">
                      <a:extLst>
                        <a:ext uri="{28A0092B-C50C-407E-A947-70E740481C1C}">
                          <a14:useLocalDpi xmlns:a14="http://schemas.microsoft.com/office/drawing/2010/main" val="0"/>
                        </a:ext>
                      </a:extLst>
                    </a:blip>
                    <a:srcRect r="6267"/>
                    <a:stretch/>
                  </pic:blipFill>
                  <pic:spPr bwMode="auto">
                    <a:xfrm>
                      <a:off x="0" y="0"/>
                      <a:ext cx="2505075" cy="3005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0A82">
        <w:rPr>
          <w:rFonts w:ascii="Times" w:hAnsi="Times"/>
        </w:rPr>
        <w:t xml:space="preserve">within </w:t>
      </w:r>
      <w:r w:rsidR="00934745">
        <w:rPr>
          <w:rFonts w:ascii="Times" w:hAnsi="Times"/>
        </w:rPr>
        <w:t>their own</w:t>
      </w:r>
      <w:r w:rsidR="00F90A82">
        <w:rPr>
          <w:rFonts w:ascii="Times" w:hAnsi="Times"/>
        </w:rPr>
        <w:t xml:space="preserve"> district</w:t>
      </w:r>
      <w:r w:rsidR="00934745">
        <w:rPr>
          <w:rFonts w:ascii="Times" w:hAnsi="Times"/>
        </w:rPr>
        <w:t>s.</w:t>
      </w:r>
    </w:p>
    <w:p w14:paraId="4854A17C" w14:textId="4E11E883" w:rsidR="00EE2ACB" w:rsidRPr="00DB416D" w:rsidRDefault="00DB416D" w:rsidP="00DB416D">
      <w:pPr>
        <w:spacing w:line="480" w:lineRule="auto"/>
        <w:ind w:firstLine="720"/>
      </w:pPr>
      <w:r>
        <w:rPr>
          <w:noProof/>
        </w:rPr>
        <w:drawing>
          <wp:anchor distT="0" distB="0" distL="114300" distR="114300" simplePos="0" relativeHeight="251666432" behindDoc="1" locked="0" layoutInCell="1" allowOverlap="1" wp14:anchorId="1D195C00" wp14:editId="5E818C6A">
            <wp:simplePos x="0" y="0"/>
            <wp:positionH relativeFrom="column">
              <wp:posOffset>2995295</wp:posOffset>
            </wp:positionH>
            <wp:positionV relativeFrom="paragraph">
              <wp:posOffset>152189</wp:posOffset>
            </wp:positionV>
            <wp:extent cx="3464560" cy="2693670"/>
            <wp:effectExtent l="0" t="0" r="2540" b="0"/>
            <wp:wrapTight wrapText="bothSides">
              <wp:wrapPolygon edited="0">
                <wp:start x="0" y="0"/>
                <wp:lineTo x="0" y="21488"/>
                <wp:lineTo x="21537" y="21488"/>
                <wp:lineTo x="21537" y="0"/>
                <wp:lineTo x="0" y="0"/>
              </wp:wrapPolygon>
            </wp:wrapTight>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64560" cy="2693670"/>
                    </a:xfrm>
                    <a:prstGeom prst="rect">
                      <a:avLst/>
                    </a:prstGeom>
                    <a:noFill/>
                    <a:ln>
                      <a:noFill/>
                    </a:ln>
                  </pic:spPr>
                </pic:pic>
              </a:graphicData>
            </a:graphic>
            <wp14:sizeRelH relativeFrom="page">
              <wp14:pctWidth>0</wp14:pctWidth>
            </wp14:sizeRelH>
            <wp14:sizeRelV relativeFrom="page">
              <wp14:pctHeight>0</wp14:pctHeight>
            </wp14:sizeRelV>
          </wp:anchor>
        </w:drawing>
      </w:r>
      <w:r w:rsidR="00763AD3" w:rsidRPr="00AC4C6E">
        <w:rPr>
          <w:rFonts w:ascii="Times" w:hAnsi="Times"/>
        </w:rPr>
        <w:t>As designated by the University of Virginia’s Weldon Cooper Center, Northern Virginia consists of Arlington, Fairfax, Loudoun, Prince William, Clarke, Warren, Rappahannock, Culpeper, Spotsylvania, Stafford and King George counties</w:t>
      </w:r>
      <w:r w:rsidR="00A24A55">
        <w:rPr>
          <w:rFonts w:ascii="Times" w:hAnsi="Times"/>
        </w:rPr>
        <w:t>.</w:t>
      </w:r>
      <w:r w:rsidR="00A24A55">
        <w:rPr>
          <w:rStyle w:val="FootnoteReference"/>
          <w:rFonts w:ascii="Times" w:hAnsi="Times"/>
        </w:rPr>
        <w:footnoteReference w:id="33"/>
      </w:r>
      <w:r w:rsidR="00763AD3" w:rsidRPr="00AC4C6E">
        <w:rPr>
          <w:rFonts w:ascii="Times" w:hAnsi="Times"/>
        </w:rPr>
        <w:t xml:space="preserve"> While this</w:t>
      </w:r>
      <w:r w:rsidR="00763AD3">
        <w:t xml:space="preserve"> area has enough population to </w:t>
      </w:r>
      <w:r w:rsidR="00934745">
        <w:t xml:space="preserve">fill </w:t>
      </w:r>
      <w:r w:rsidR="00763AD3">
        <w:t>four congressional districts</w:t>
      </w:r>
      <w:r w:rsidR="00F0490D">
        <w:t>, the 2016 map</w:t>
      </w:r>
      <w:r w:rsidR="00763AD3">
        <w:t xml:space="preserve"> </w:t>
      </w:r>
      <w:r w:rsidR="00F0490D">
        <w:t>divides their</w:t>
      </w:r>
      <w:r w:rsidR="00763AD3">
        <w:t xml:space="preserve"> populations over seven</w:t>
      </w:r>
      <w:r w:rsidR="00F0490D">
        <w:t>.</w:t>
      </w:r>
      <w:r w:rsidR="00F0490D">
        <w:rPr>
          <w:rStyle w:val="FootnoteReference"/>
        </w:rPr>
        <w:footnoteReference w:id="34"/>
      </w:r>
      <w:r w:rsidR="00B7535B">
        <w:t xml:space="preserve"> In this plan,</w:t>
      </w:r>
      <w:r w:rsidR="007A1CD7">
        <w:t xml:space="preserve"> those counties are split amongst </w:t>
      </w:r>
      <w:r w:rsidR="008626A0">
        <w:t>six</w:t>
      </w:r>
      <w:r w:rsidR="007A1CD7">
        <w:t xml:space="preserve"> districts and are split intentionally according to cultural</w:t>
      </w:r>
      <w:r w:rsidR="00B7535B">
        <w:t xml:space="preserve"> </w:t>
      </w:r>
      <w:r w:rsidR="007A1CD7">
        <w:t>similarities</w:t>
      </w:r>
      <w:r w:rsidR="008626A0">
        <w:t xml:space="preserve"> amongst districts. </w:t>
      </w:r>
      <w:r w:rsidR="002C25CF">
        <w:t xml:space="preserve">Arlington and Fairfax counties fall entirely </w:t>
      </w:r>
      <w:r w:rsidR="002C25CF">
        <w:lastRenderedPageBreak/>
        <w:t>within Districts 8 and 11.</w:t>
      </w:r>
      <w:r w:rsidR="007F77A3">
        <w:t xml:space="preserve"> </w:t>
      </w:r>
      <w:r w:rsidR="0014780D">
        <w:t>Loudon</w:t>
      </w:r>
      <w:r w:rsidR="007272B4">
        <w:t xml:space="preserve"> is split between District 7 and 10</w:t>
      </w:r>
      <w:r w:rsidR="00836F6C">
        <w:t xml:space="preserve"> and combines with</w:t>
      </w:r>
      <w:r w:rsidR="00E969CE">
        <w:t xml:space="preserve"> </w:t>
      </w:r>
      <w:r w:rsidR="007F77A3">
        <w:t xml:space="preserve">Prince William </w:t>
      </w:r>
      <w:r w:rsidR="00836F6C">
        <w:t>to</w:t>
      </w:r>
      <w:r w:rsidR="007F77A3">
        <w:t xml:space="preserve"> make up District 10.</w:t>
      </w:r>
    </w:p>
    <w:p w14:paraId="399E72EB" w14:textId="7BEA6D92" w:rsidR="0073734D" w:rsidRDefault="00DB416D" w:rsidP="009B72DC">
      <w:pPr>
        <w:spacing w:line="480" w:lineRule="auto"/>
        <w:rPr>
          <w:rFonts w:ascii="TimesNewRomanPSMT" w:hAnsi="TimesNewRomanPSMT"/>
          <w:u w:val="single"/>
        </w:rPr>
      </w:pPr>
      <w:r>
        <w:rPr>
          <w:rFonts w:ascii="TimesNewRomanPSMT" w:hAnsi="TimesNewRomanPSMT"/>
          <w:noProof/>
        </w:rPr>
        <w:drawing>
          <wp:anchor distT="0" distB="0" distL="114300" distR="114300" simplePos="0" relativeHeight="251667456" behindDoc="1" locked="0" layoutInCell="1" allowOverlap="1" wp14:anchorId="778BFF53" wp14:editId="79A63F01">
            <wp:simplePos x="0" y="0"/>
            <wp:positionH relativeFrom="column">
              <wp:posOffset>3089275</wp:posOffset>
            </wp:positionH>
            <wp:positionV relativeFrom="page">
              <wp:posOffset>1875579</wp:posOffset>
            </wp:positionV>
            <wp:extent cx="2649855" cy="3419475"/>
            <wp:effectExtent l="0" t="0" r="4445" b="0"/>
            <wp:wrapTight wrapText="bothSides">
              <wp:wrapPolygon edited="0">
                <wp:start x="0" y="0"/>
                <wp:lineTo x="0" y="21500"/>
                <wp:lineTo x="21533" y="21500"/>
                <wp:lineTo x="21533" y="0"/>
                <wp:lineTo x="0" y="0"/>
              </wp:wrapPolygon>
            </wp:wrapTight>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rotWithShape="1">
                    <a:blip r:embed="rId17" cstate="print">
                      <a:extLst>
                        <a:ext uri="{28A0092B-C50C-407E-A947-70E740481C1C}">
                          <a14:useLocalDpi xmlns:a14="http://schemas.microsoft.com/office/drawing/2010/main" val="0"/>
                        </a:ext>
                      </a:extLst>
                    </a:blip>
                    <a:srcRect t="1199"/>
                    <a:stretch/>
                  </pic:blipFill>
                  <pic:spPr bwMode="auto">
                    <a:xfrm>
                      <a:off x="0" y="0"/>
                      <a:ext cx="2649855" cy="3419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2ACB" w:rsidRPr="00B05CBD">
        <w:drawing>
          <wp:anchor distT="0" distB="0" distL="114300" distR="114300" simplePos="0" relativeHeight="251668480" behindDoc="1" locked="0" layoutInCell="1" allowOverlap="1" wp14:anchorId="2973CDED" wp14:editId="4EBD65A8">
            <wp:simplePos x="0" y="0"/>
            <wp:positionH relativeFrom="column">
              <wp:posOffset>-152612</wp:posOffset>
            </wp:positionH>
            <wp:positionV relativeFrom="paragraph">
              <wp:posOffset>372110</wp:posOffset>
            </wp:positionV>
            <wp:extent cx="2980055" cy="3307080"/>
            <wp:effectExtent l="0" t="0" r="4445" b="0"/>
            <wp:wrapTight wrapText="bothSides">
              <wp:wrapPolygon edited="0">
                <wp:start x="0" y="0"/>
                <wp:lineTo x="0" y="21484"/>
                <wp:lineTo x="21540" y="21484"/>
                <wp:lineTo x="21540" y="0"/>
                <wp:lineTo x="0" y="0"/>
              </wp:wrapPolygon>
            </wp:wrapTight>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80055" cy="3307080"/>
                    </a:xfrm>
                    <a:prstGeom prst="rect">
                      <a:avLst/>
                    </a:prstGeom>
                  </pic:spPr>
                </pic:pic>
              </a:graphicData>
            </a:graphic>
            <wp14:sizeRelH relativeFrom="page">
              <wp14:pctWidth>0</wp14:pctWidth>
            </wp14:sizeRelH>
            <wp14:sizeRelV relativeFrom="page">
              <wp14:pctHeight>0</wp14:pctHeight>
            </wp14:sizeRelV>
          </wp:anchor>
        </w:drawing>
      </w:r>
      <w:r w:rsidR="009B72DC" w:rsidRPr="009B72DC">
        <w:rPr>
          <w:rFonts w:ascii="TimesNewRomanPSMT" w:hAnsi="TimesNewRomanPSMT"/>
          <w:u w:val="single"/>
        </w:rPr>
        <w:t>East and West of the Shenandoah</w:t>
      </w:r>
      <w:r w:rsidR="00E83C84" w:rsidRPr="009B72DC">
        <w:rPr>
          <w:rFonts w:ascii="TimesNewRomanPSMT" w:hAnsi="TimesNewRomanPSMT"/>
          <w:u w:val="single"/>
        </w:rPr>
        <w:t>:</w:t>
      </w:r>
      <w:r w:rsidR="00F90A82" w:rsidRPr="009B72DC">
        <w:rPr>
          <w:rFonts w:ascii="TimesNewRomanPSMT" w:hAnsi="TimesNewRomanPSMT"/>
          <w:u w:val="single"/>
        </w:rPr>
        <w:t xml:space="preserve"> District 6 and </w:t>
      </w:r>
      <w:r w:rsidR="009B72DC" w:rsidRPr="009B72DC">
        <w:rPr>
          <w:rFonts w:ascii="TimesNewRomanPSMT" w:hAnsi="TimesNewRomanPSMT"/>
          <w:u w:val="single"/>
        </w:rPr>
        <w:t>7</w:t>
      </w:r>
    </w:p>
    <w:p w14:paraId="4CA4F00A" w14:textId="09758134" w:rsidR="00614A2F" w:rsidRPr="00614A2F" w:rsidRDefault="00B44C28" w:rsidP="009B72DC">
      <w:pPr>
        <w:spacing w:line="480" w:lineRule="auto"/>
      </w:pPr>
      <w:r>
        <w:rPr>
          <w:rFonts w:ascii="TimesNewRomanPSMT" w:hAnsi="TimesNewRomanPSMT"/>
        </w:rPr>
        <w:tab/>
      </w:r>
      <w:r w:rsidR="00D53D35">
        <w:rPr>
          <w:rFonts w:ascii="TimesNewRomanPSMT" w:hAnsi="TimesNewRomanPSMT"/>
        </w:rPr>
        <w:t>The 6</w:t>
      </w:r>
      <w:r w:rsidR="00D53D35" w:rsidRPr="00D53D35">
        <w:rPr>
          <w:rFonts w:ascii="TimesNewRomanPSMT" w:hAnsi="TimesNewRomanPSMT"/>
          <w:vertAlign w:val="superscript"/>
        </w:rPr>
        <w:t>th</w:t>
      </w:r>
      <w:r w:rsidR="00D53D35">
        <w:rPr>
          <w:rFonts w:ascii="TimesNewRomanPSMT" w:hAnsi="TimesNewRomanPSMT"/>
        </w:rPr>
        <w:t xml:space="preserve"> District</w:t>
      </w:r>
      <w:r w:rsidR="00F02803">
        <w:rPr>
          <w:rFonts w:ascii="TimesNewRomanPSMT" w:hAnsi="TimesNewRomanPSMT"/>
        </w:rPr>
        <w:t xml:space="preserve"> contains counties</w:t>
      </w:r>
      <w:r w:rsidR="00396068">
        <w:rPr>
          <w:rFonts w:ascii="TimesNewRomanPSMT" w:hAnsi="TimesNewRomanPSMT"/>
        </w:rPr>
        <w:t xml:space="preserve"> east of the West Virginia border,</w:t>
      </w:r>
      <w:r w:rsidR="00F02803">
        <w:rPr>
          <w:rFonts w:ascii="TimesNewRomanPSMT" w:hAnsi="TimesNewRomanPSMT"/>
        </w:rPr>
        <w:t xml:space="preserve"> </w:t>
      </w:r>
      <w:r w:rsidR="007A780F">
        <w:rPr>
          <w:rFonts w:ascii="TimesNewRomanPSMT" w:hAnsi="TimesNewRomanPSMT"/>
        </w:rPr>
        <w:t>w</w:t>
      </w:r>
      <w:r w:rsidR="00F02803">
        <w:rPr>
          <w:rFonts w:ascii="TimesNewRomanPSMT" w:hAnsi="TimesNewRomanPSMT"/>
        </w:rPr>
        <w:t>est of the Shenandoah</w:t>
      </w:r>
      <w:r w:rsidR="007A780F">
        <w:rPr>
          <w:rFonts w:ascii="TimesNewRomanPSMT" w:hAnsi="TimesNewRomanPSMT"/>
        </w:rPr>
        <w:t xml:space="preserve"> Mountains,</w:t>
      </w:r>
      <w:r w:rsidR="00344D4D">
        <w:rPr>
          <w:rFonts w:ascii="TimesNewRomanPSMT" w:hAnsi="TimesNewRomanPSMT"/>
        </w:rPr>
        <w:t xml:space="preserve"> and north of</w:t>
      </w:r>
      <w:r w:rsidR="00F02803">
        <w:rPr>
          <w:rFonts w:ascii="TimesNewRomanPSMT" w:hAnsi="TimesNewRomanPSMT"/>
        </w:rPr>
        <w:t xml:space="preserve"> </w:t>
      </w:r>
      <w:r w:rsidR="007A780F">
        <w:rPr>
          <w:rFonts w:ascii="TimesNewRomanPSMT" w:hAnsi="TimesNewRomanPSMT"/>
        </w:rPr>
        <w:t>the</w:t>
      </w:r>
      <w:r w:rsidR="00F02803">
        <w:rPr>
          <w:rFonts w:ascii="TimesNewRomanPSMT" w:hAnsi="TimesNewRomanPSMT"/>
        </w:rPr>
        <w:t xml:space="preserve"> Blue Ridge </w:t>
      </w:r>
      <w:r w:rsidR="00E10471">
        <w:rPr>
          <w:rFonts w:ascii="TimesNewRomanPSMT" w:hAnsi="TimesNewRomanPSMT"/>
        </w:rPr>
        <w:t>Mountains</w:t>
      </w:r>
      <w:r w:rsidR="007A780F">
        <w:rPr>
          <w:rFonts w:ascii="TimesNewRomanPSMT" w:hAnsi="TimesNewRomanPSMT"/>
        </w:rPr>
        <w:t xml:space="preserve">. </w:t>
      </w:r>
      <w:r w:rsidR="00FC56E1">
        <w:rPr>
          <w:rFonts w:ascii="TimesNewRomanPSMT" w:hAnsi="TimesNewRomanPSMT"/>
        </w:rPr>
        <w:t>The Blue Ridge serves as a</w:t>
      </w:r>
      <w:r w:rsidR="00EE2ACB">
        <w:rPr>
          <w:rFonts w:ascii="TimesNewRomanPSMT" w:hAnsi="TimesNewRomanPSMT"/>
        </w:rPr>
        <w:t xml:space="preserve"> good functional</w:t>
      </w:r>
      <w:r w:rsidR="00FC56E1">
        <w:rPr>
          <w:rFonts w:ascii="TimesNewRomanPSMT" w:hAnsi="TimesNewRomanPSMT"/>
        </w:rPr>
        <w:t xml:space="preserve"> divider with the 9</w:t>
      </w:r>
      <w:r w:rsidR="00FC56E1" w:rsidRPr="00FC56E1">
        <w:rPr>
          <w:rFonts w:ascii="TimesNewRomanPSMT" w:hAnsi="TimesNewRomanPSMT"/>
          <w:vertAlign w:val="superscript"/>
        </w:rPr>
        <w:t>th</w:t>
      </w:r>
      <w:r w:rsidR="00FC56E1">
        <w:rPr>
          <w:rFonts w:ascii="TimesNewRomanPSMT" w:hAnsi="TimesNewRomanPSMT"/>
        </w:rPr>
        <w:t xml:space="preserve"> District as there are very few roads that permit their crossing.</w:t>
      </w:r>
      <w:r w:rsidR="00172154">
        <w:rPr>
          <w:rFonts w:ascii="TimesNewRomanPSMT" w:hAnsi="TimesNewRomanPSMT"/>
        </w:rPr>
        <w:t xml:space="preserve"> </w:t>
      </w:r>
      <w:r w:rsidR="00172154">
        <w:t>Clarke and Warren, technically Northern Virginia counties,</w:t>
      </w:r>
      <w:r w:rsidR="00D53D35" w:rsidRPr="00D53D35">
        <w:rPr>
          <w:rStyle w:val="FootnoteReference"/>
          <w:rFonts w:ascii="Times" w:hAnsi="Times"/>
        </w:rPr>
        <w:t xml:space="preserve"> </w:t>
      </w:r>
      <w:r w:rsidR="00D53D35" w:rsidRPr="00AC4C6E">
        <w:rPr>
          <w:rStyle w:val="FootnoteReference"/>
          <w:rFonts w:ascii="Times" w:hAnsi="Times"/>
        </w:rPr>
        <w:footnoteReference w:id="35"/>
      </w:r>
      <w:r w:rsidR="00172154">
        <w:t xml:space="preserve"> are placed in District 6 because of cultural ties to the Shenandoah.</w:t>
      </w:r>
      <w:r w:rsidR="00EE2ACB" w:rsidRPr="00EE2ACB">
        <w:t xml:space="preserve"> </w:t>
      </w:r>
    </w:p>
    <w:p w14:paraId="0880627B" w14:textId="3F78B904" w:rsidR="00D53D35" w:rsidRDefault="003F489A" w:rsidP="009B72DC">
      <w:pPr>
        <w:spacing w:line="480" w:lineRule="auto"/>
      </w:pPr>
      <w:r>
        <w:tab/>
        <w:t>The 7</w:t>
      </w:r>
      <w:r w:rsidRPr="003F489A">
        <w:rPr>
          <w:vertAlign w:val="superscript"/>
        </w:rPr>
        <w:t>th</w:t>
      </w:r>
      <w:r>
        <w:t xml:space="preserve"> District takes a new form. </w:t>
      </w:r>
      <w:r w:rsidR="0086295F">
        <w:t>Whereas it historically stretched from Culpeper</w:t>
      </w:r>
      <w:r w:rsidR="009B0A9C">
        <w:t xml:space="preserve"> southeast to Nottoway, I aimed to create a district that instead </w:t>
      </w:r>
      <w:r w:rsidR="007A0FC3">
        <w:t>recognized the “Route 29 corridor</w:t>
      </w:r>
      <w:r w:rsidR="00EE2ACB">
        <w:t>,</w:t>
      </w:r>
      <w:r w:rsidR="007A0FC3">
        <w:t>”</w:t>
      </w:r>
      <w:r w:rsidR="00E24182">
        <w:t xml:space="preserve"> connecting the Central Virginian exurban residents of </w:t>
      </w:r>
      <w:r w:rsidR="00784A5B">
        <w:t>Charlottesville</w:t>
      </w:r>
      <w:r w:rsidR="003E1836">
        <w:t xml:space="preserve"> </w:t>
      </w:r>
      <w:r w:rsidR="00EE2ACB">
        <w:t>with those of</w:t>
      </w:r>
      <w:r w:rsidR="003E1836">
        <w:t xml:space="preserve"> </w:t>
      </w:r>
      <w:r w:rsidR="007A0FC3">
        <w:t>Culpeper</w:t>
      </w:r>
      <w:r w:rsidR="00EE2ACB">
        <w:t>.</w:t>
      </w:r>
      <w:r w:rsidR="00E24182">
        <w:t xml:space="preserve"> Charlottesville has historically resided in the 5</w:t>
      </w:r>
      <w:r w:rsidR="00E24182" w:rsidRPr="00E24182">
        <w:rPr>
          <w:vertAlign w:val="superscript"/>
        </w:rPr>
        <w:t>th</w:t>
      </w:r>
      <w:r w:rsidR="00E24182">
        <w:t xml:space="preserve"> District, which stretched from the </w:t>
      </w:r>
      <w:r w:rsidR="00E24182">
        <w:lastRenderedPageBreak/>
        <w:t xml:space="preserve">state’s northernmost point to its southernmost, connecting </w:t>
      </w:r>
      <w:r w:rsidR="003E1836">
        <w:t>culturally disparate area</w:t>
      </w:r>
      <w:r w:rsidR="00ED1E90">
        <w:t>s</w:t>
      </w:r>
      <w:r w:rsidR="003E1836">
        <w:t>. Instead, I included Fredericksburg and Stafford County, also a suburban-exurban region of the state to</w:t>
      </w:r>
      <w:r w:rsidR="00614A2F">
        <w:t xml:space="preserve"> reach population equality without disrupting cultural continuity.</w:t>
      </w:r>
    </w:p>
    <w:p w14:paraId="13864DCA" w14:textId="1FFD79E8" w:rsidR="00614A2F" w:rsidRDefault="00614A2F" w:rsidP="009B72DC">
      <w:pPr>
        <w:spacing w:line="480" w:lineRule="auto"/>
        <w:rPr>
          <w:u w:val="single"/>
        </w:rPr>
      </w:pPr>
      <w:r>
        <w:rPr>
          <w:u w:val="single"/>
        </w:rPr>
        <w:t>District 9: Appalachia</w:t>
      </w:r>
    </w:p>
    <w:p w14:paraId="5823B18D" w14:textId="2CE3BFBD" w:rsidR="009B6129" w:rsidRPr="009B6129" w:rsidRDefault="009B6129" w:rsidP="009B6129">
      <w:pPr>
        <w:spacing w:line="480" w:lineRule="auto"/>
      </w:pPr>
      <w:r w:rsidRPr="009B6129">
        <w:rPr>
          <w:noProof/>
        </w:rPr>
        <w:drawing>
          <wp:anchor distT="0" distB="0" distL="114300" distR="114300" simplePos="0" relativeHeight="251669504" behindDoc="1" locked="0" layoutInCell="1" allowOverlap="1" wp14:anchorId="36F4606B" wp14:editId="529CE417">
            <wp:simplePos x="0" y="0"/>
            <wp:positionH relativeFrom="column">
              <wp:posOffset>50800</wp:posOffset>
            </wp:positionH>
            <wp:positionV relativeFrom="paragraph">
              <wp:posOffset>3248449</wp:posOffset>
            </wp:positionV>
            <wp:extent cx="5943600" cy="2583815"/>
            <wp:effectExtent l="0" t="0" r="0" b="0"/>
            <wp:wrapTight wrapText="bothSides">
              <wp:wrapPolygon edited="0">
                <wp:start x="0" y="0"/>
                <wp:lineTo x="0" y="21446"/>
                <wp:lineTo x="21554" y="21446"/>
                <wp:lineTo x="21554" y="0"/>
                <wp:lineTo x="0" y="0"/>
              </wp:wrapPolygon>
            </wp:wrapTight>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583815"/>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92">
        <w:rPr>
          <w:noProof/>
        </w:rPr>
        <w:drawing>
          <wp:inline distT="0" distB="0" distL="0" distR="0" wp14:anchorId="37FC3894" wp14:editId="521F2F64">
            <wp:extent cx="5943600" cy="3095625"/>
            <wp:effectExtent l="0" t="0" r="0" b="3175"/>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095625"/>
                    </a:xfrm>
                    <a:prstGeom prst="rect">
                      <a:avLst/>
                    </a:prstGeom>
                  </pic:spPr>
                </pic:pic>
              </a:graphicData>
            </a:graphic>
          </wp:inline>
        </w:drawing>
      </w:r>
      <w:r w:rsidR="00C51CE2">
        <w:tab/>
        <w:t>The 9</w:t>
      </w:r>
      <w:r w:rsidR="00C51CE2" w:rsidRPr="00C51CE2">
        <w:rPr>
          <w:vertAlign w:val="superscript"/>
        </w:rPr>
        <w:t>th</w:t>
      </w:r>
      <w:r w:rsidR="00C51CE2">
        <w:t xml:space="preserve"> District captures</w:t>
      </w:r>
      <w:r w:rsidR="00AE72E1">
        <w:t xml:space="preserve"> the Virginia panhandle. It is composed of </w:t>
      </w:r>
      <w:proofErr w:type="gramStart"/>
      <w:r w:rsidR="00AE72E1">
        <w:t>the majority of</w:t>
      </w:r>
      <w:proofErr w:type="gramEnd"/>
      <w:r w:rsidR="00AE72E1">
        <w:t xml:space="preserve"> Appalachian</w:t>
      </w:r>
      <w:r w:rsidR="00C51CE2">
        <w:t xml:space="preserve"> </w:t>
      </w:r>
      <w:r w:rsidR="00B654EF">
        <w:t>counties south of the Blue Ridge</w:t>
      </w:r>
      <w:r w:rsidR="009F107A">
        <w:t xml:space="preserve">. </w:t>
      </w:r>
      <w:r w:rsidR="00B654EF">
        <w:t>Unlike the</w:t>
      </w:r>
      <w:r w:rsidR="00757D9B">
        <w:t xml:space="preserve"> 2016 and the</w:t>
      </w:r>
      <w:r w:rsidR="00B654EF">
        <w:t xml:space="preserve"> </w:t>
      </w:r>
      <w:proofErr w:type="spellStart"/>
      <w:r w:rsidR="00B654EF">
        <w:t>Grofman-Trende</w:t>
      </w:r>
      <w:proofErr w:type="spellEnd"/>
      <w:r w:rsidR="00B654EF">
        <w:t xml:space="preserve"> </w:t>
      </w:r>
      <w:r w:rsidR="00250E69">
        <w:t>maps</w:t>
      </w:r>
      <w:r w:rsidR="00B654EF">
        <w:t xml:space="preserve">, it </w:t>
      </w:r>
      <w:r w:rsidR="00C51581">
        <w:lastRenderedPageBreak/>
        <w:t>places</w:t>
      </w:r>
      <w:r w:rsidR="00B654EF">
        <w:t xml:space="preserve"> Roanoke and Salem together within their surrounding </w:t>
      </w:r>
      <w:r>
        <w:t>Roanoke County</w:t>
      </w:r>
      <w:r w:rsidR="00F27393">
        <w:t xml:space="preserve">, </w:t>
      </w:r>
      <w:r w:rsidR="00C51581">
        <w:t xml:space="preserve">while still </w:t>
      </w:r>
      <w:r w:rsidR="00F27393">
        <w:t>ensuring population equality.</w:t>
      </w:r>
      <w:r w:rsidRPr="009B6129">
        <w:t xml:space="preserve"> </w:t>
      </w:r>
      <w:r w:rsidRPr="009B6129">
        <w:fldChar w:fldCharType="begin"/>
      </w:r>
      <w:r w:rsidRPr="009B6129">
        <w:instrText xml:space="preserve"> INCLUDEPICTURE "https://drawcongress.org/wp-content/uploads/Screen-Shot-2022-03-29-at-2.38.07-PM.png" \* MERGEFORMATINET </w:instrText>
      </w:r>
      <w:r w:rsidRPr="009B6129">
        <w:fldChar w:fldCharType="separate"/>
      </w:r>
      <w:r w:rsidRPr="009B6129">
        <w:fldChar w:fldCharType="end"/>
      </w:r>
    </w:p>
    <w:p w14:paraId="265D034A" w14:textId="4DC6E0DA" w:rsidR="007B6DF8" w:rsidRDefault="007B6DF8" w:rsidP="007B6DF8">
      <w:pPr>
        <w:spacing w:line="480" w:lineRule="auto"/>
        <w:rPr>
          <w:u w:val="single"/>
        </w:rPr>
      </w:pPr>
      <w:r>
        <w:rPr>
          <w:u w:val="single"/>
        </w:rPr>
        <w:t>District 2 and 3: Tidewater</w:t>
      </w:r>
    </w:p>
    <w:p w14:paraId="520D1C06" w14:textId="17846D1B" w:rsidR="002A7581" w:rsidRPr="002A7581" w:rsidRDefault="00DB416D" w:rsidP="002A7581">
      <w:pPr>
        <w:spacing w:line="480" w:lineRule="auto"/>
        <w:rPr>
          <w:u w:val="single"/>
        </w:rPr>
      </w:pPr>
      <w:r w:rsidRPr="00C46AFD">
        <w:rPr>
          <w:noProof/>
        </w:rPr>
        <w:drawing>
          <wp:anchor distT="0" distB="0" distL="114300" distR="114300" simplePos="0" relativeHeight="251677696" behindDoc="1" locked="0" layoutInCell="1" allowOverlap="1" wp14:anchorId="24D14C93" wp14:editId="172687EC">
            <wp:simplePos x="0" y="0"/>
            <wp:positionH relativeFrom="column">
              <wp:posOffset>-397934</wp:posOffset>
            </wp:positionH>
            <wp:positionV relativeFrom="paragraph">
              <wp:posOffset>3255857</wp:posOffset>
            </wp:positionV>
            <wp:extent cx="3432175" cy="2794000"/>
            <wp:effectExtent l="0" t="0" r="0" b="0"/>
            <wp:wrapTopAndBottom/>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32175" cy="2794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1" locked="0" layoutInCell="1" allowOverlap="1" wp14:anchorId="6FF5E56E" wp14:editId="63030674">
            <wp:simplePos x="0" y="0"/>
            <wp:positionH relativeFrom="column">
              <wp:posOffset>3315335</wp:posOffset>
            </wp:positionH>
            <wp:positionV relativeFrom="paragraph">
              <wp:posOffset>455507</wp:posOffset>
            </wp:positionV>
            <wp:extent cx="2973705" cy="3919855"/>
            <wp:effectExtent l="0" t="0" r="0" b="4445"/>
            <wp:wrapTight wrapText="bothSides">
              <wp:wrapPolygon edited="0">
                <wp:start x="0" y="0"/>
                <wp:lineTo x="0" y="21555"/>
                <wp:lineTo x="21494" y="21555"/>
                <wp:lineTo x="21494" y="0"/>
                <wp:lineTo x="0" y="0"/>
              </wp:wrapPolygon>
            </wp:wrapTight>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73705" cy="3919855"/>
                    </a:xfrm>
                    <a:prstGeom prst="rect">
                      <a:avLst/>
                    </a:prstGeom>
                  </pic:spPr>
                </pic:pic>
              </a:graphicData>
            </a:graphic>
            <wp14:sizeRelH relativeFrom="page">
              <wp14:pctWidth>0</wp14:pctWidth>
            </wp14:sizeRelH>
            <wp14:sizeRelV relativeFrom="page">
              <wp14:pctHeight>0</wp14:pctHeight>
            </wp14:sizeRelV>
          </wp:anchor>
        </w:drawing>
      </w:r>
      <w:r w:rsidR="00850D97">
        <w:rPr>
          <w:noProof/>
          <w:u w:val="single"/>
        </w:rPr>
        <w:drawing>
          <wp:anchor distT="0" distB="0" distL="114300" distR="114300" simplePos="0" relativeHeight="251670528" behindDoc="1" locked="0" layoutInCell="1" allowOverlap="1" wp14:anchorId="791A2267" wp14:editId="21AEB097">
            <wp:simplePos x="0" y="0"/>
            <wp:positionH relativeFrom="column">
              <wp:posOffset>-567690</wp:posOffset>
            </wp:positionH>
            <wp:positionV relativeFrom="paragraph">
              <wp:posOffset>149013</wp:posOffset>
            </wp:positionV>
            <wp:extent cx="3674745" cy="3013710"/>
            <wp:effectExtent l="0" t="0" r="0" b="0"/>
            <wp:wrapTight wrapText="bothSides">
              <wp:wrapPolygon edited="0">
                <wp:start x="0" y="0"/>
                <wp:lineTo x="0" y="21482"/>
                <wp:lineTo x="21499" y="21482"/>
                <wp:lineTo x="21499" y="0"/>
                <wp:lineTo x="0" y="0"/>
              </wp:wrapPolygon>
            </wp:wrapTight>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rotWithShape="1">
                    <a:blip r:embed="rId23" cstate="print">
                      <a:extLst>
                        <a:ext uri="{28A0092B-C50C-407E-A947-70E740481C1C}">
                          <a14:useLocalDpi xmlns:a14="http://schemas.microsoft.com/office/drawing/2010/main" val="0"/>
                        </a:ext>
                      </a:extLst>
                    </a:blip>
                    <a:srcRect r="4986"/>
                    <a:stretch/>
                  </pic:blipFill>
                  <pic:spPr bwMode="auto">
                    <a:xfrm>
                      <a:off x="0" y="0"/>
                      <a:ext cx="3674745" cy="3013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6AFD" w:rsidRPr="00C46AFD">
        <w:fldChar w:fldCharType="begin"/>
      </w:r>
      <w:r w:rsidR="00C46AFD" w:rsidRPr="00C46AFD">
        <w:instrText xml:space="preserve"> INCLUDEPICTURE "https://drawcongress.org/wp-content/uploads/Screen-Shot-2022-03-29-at-2.40.38-PM.png" \* MERGEFORMATINET </w:instrText>
      </w:r>
      <w:r w:rsidR="00C46AFD" w:rsidRPr="00C46AFD">
        <w:fldChar w:fldCharType="separate"/>
      </w:r>
      <w:r w:rsidR="00C46AFD" w:rsidRPr="00C46AFD">
        <w:fldChar w:fldCharType="end"/>
      </w:r>
      <w:r w:rsidR="002A7581" w:rsidRPr="002A7581">
        <w:fldChar w:fldCharType="begin"/>
      </w:r>
      <w:r w:rsidR="002A7581" w:rsidRPr="002A7581">
        <w:instrText xml:space="preserve"> INCLUDEPICTURE "https://drawcongress.org/wp-content/uploads/Screen-Shot-2022-03-29-at-2.47.26-PM.png" \* MERGEFORMATINET </w:instrText>
      </w:r>
      <w:r w:rsidR="002A7581" w:rsidRPr="002A7581">
        <w:fldChar w:fldCharType="separate"/>
      </w:r>
      <w:r w:rsidR="002A7581" w:rsidRPr="002A7581">
        <w:fldChar w:fldCharType="end"/>
      </w:r>
    </w:p>
    <w:p w14:paraId="55728B76" w14:textId="71F58EC0" w:rsidR="007B6DF8" w:rsidRDefault="005B597D" w:rsidP="002A7581">
      <w:pPr>
        <w:spacing w:line="480" w:lineRule="auto"/>
        <w:ind w:firstLine="720"/>
      </w:pPr>
      <w:r>
        <w:t xml:space="preserve">As discussed above, District 3 consistently elects the candidate of choice of the Black community. I </w:t>
      </w:r>
      <w:r w:rsidR="00BA7E64">
        <w:t xml:space="preserve">drew a compact district </w:t>
      </w:r>
      <w:r w:rsidR="00DF22DF">
        <w:t>partially</w:t>
      </w:r>
      <w:r w:rsidR="00BA7E64">
        <w:t xml:space="preserve"> tracing the Hampton Roads Beltway, keeping the cities of Newport News</w:t>
      </w:r>
      <w:r w:rsidR="00FE6DB7">
        <w:t xml:space="preserve"> </w:t>
      </w:r>
      <w:r w:rsidR="00BA7E64">
        <w:t xml:space="preserve">and Portsmouth intact and splitting </w:t>
      </w:r>
      <w:r w:rsidR="008E0B21">
        <w:t>parts of</w:t>
      </w:r>
      <w:r w:rsidR="00FE6DB7">
        <w:t xml:space="preserve"> Hampton,</w:t>
      </w:r>
      <w:r w:rsidR="008E0B21">
        <w:t xml:space="preserve"> </w:t>
      </w:r>
      <w:proofErr w:type="gramStart"/>
      <w:r w:rsidR="008E0B21">
        <w:t>Norfolk</w:t>
      </w:r>
      <w:proofErr w:type="gramEnd"/>
      <w:r w:rsidR="00DF22DF">
        <w:t xml:space="preserve"> and </w:t>
      </w:r>
      <w:r w:rsidR="00BA7E64">
        <w:lastRenderedPageBreak/>
        <w:t xml:space="preserve">Chesapeake City </w:t>
      </w:r>
      <w:r w:rsidR="00FE6DB7">
        <w:t xml:space="preserve">roughly </w:t>
      </w:r>
      <w:r w:rsidR="00DF22DF">
        <w:t>along</w:t>
      </w:r>
      <w:r w:rsidR="00BA7E64">
        <w:t xml:space="preserve"> the Beltway</w:t>
      </w:r>
      <w:r w:rsidR="00D6114B">
        <w:t xml:space="preserve">. </w:t>
      </w:r>
      <w:r w:rsidR="00DF22DF">
        <w:t xml:space="preserve">I then pulled in Suffolk City and Franklin to reach population equality. The </w:t>
      </w:r>
      <w:proofErr w:type="gramStart"/>
      <w:r w:rsidR="00DF22DF">
        <w:t>District</w:t>
      </w:r>
      <w:proofErr w:type="gramEnd"/>
      <w:r w:rsidR="00DF22DF">
        <w:t xml:space="preserve"> as drawn in this plan is both more compact than the </w:t>
      </w:r>
      <w:proofErr w:type="spellStart"/>
      <w:r w:rsidR="00DF22DF">
        <w:t>Grofman-Trende</w:t>
      </w:r>
      <w:proofErr w:type="spellEnd"/>
      <w:r w:rsidR="00DF22DF">
        <w:t xml:space="preserve"> plan and increases the Black VAP </w:t>
      </w:r>
      <w:r w:rsidR="00807B17">
        <w:t xml:space="preserve">to </w:t>
      </w:r>
      <w:r w:rsidR="00DB586C">
        <w:t>47% over their 44.5%.</w:t>
      </w:r>
    </w:p>
    <w:p w14:paraId="7EF96A13" w14:textId="5F807B26" w:rsidR="00FB4C6D" w:rsidRPr="00FB4C6D" w:rsidRDefault="00FB4C6D" w:rsidP="00FB4C6D">
      <w:pPr>
        <w:spacing w:line="480" w:lineRule="auto"/>
        <w:ind w:firstLine="720"/>
        <w:jc w:val="center"/>
        <w:rPr>
          <w:i/>
          <w:iCs/>
        </w:rPr>
      </w:pPr>
      <w:r w:rsidRPr="002A7581">
        <w:rPr>
          <w:noProof/>
        </w:rPr>
        <w:drawing>
          <wp:anchor distT="0" distB="0" distL="114300" distR="114300" simplePos="0" relativeHeight="251678720" behindDoc="0" locked="0" layoutInCell="1" allowOverlap="1" wp14:anchorId="6087BA90" wp14:editId="0767C676">
            <wp:simplePos x="0" y="0"/>
            <wp:positionH relativeFrom="column">
              <wp:posOffset>1279102</wp:posOffset>
            </wp:positionH>
            <wp:positionV relativeFrom="paragraph">
              <wp:posOffset>749088</wp:posOffset>
            </wp:positionV>
            <wp:extent cx="3173095" cy="2743200"/>
            <wp:effectExtent l="0" t="0" r="1905" b="0"/>
            <wp:wrapTopAndBottom/>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a:picLocks noChangeAspect="1" noChangeArrowheads="1"/>
                    </pic:cNvPicPr>
                  </pic:nvPicPr>
                  <pic:blipFill rotWithShape="1">
                    <a:blip r:embed="rId24">
                      <a:extLst>
                        <a:ext uri="{28A0092B-C50C-407E-A947-70E740481C1C}">
                          <a14:useLocalDpi xmlns:a14="http://schemas.microsoft.com/office/drawing/2010/main" val="0"/>
                        </a:ext>
                      </a:extLst>
                    </a:blip>
                    <a:srcRect r="7994"/>
                    <a:stretch/>
                  </pic:blipFill>
                  <pic:spPr bwMode="auto">
                    <a:xfrm>
                      <a:off x="0" y="0"/>
                      <a:ext cx="3173095"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3</w:t>
      </w:r>
      <w:r>
        <w:rPr>
          <w:i/>
          <w:iCs/>
          <w:vertAlign w:val="superscript"/>
        </w:rPr>
        <w:t xml:space="preserve">rd </w:t>
      </w:r>
      <w:r>
        <w:rPr>
          <w:i/>
          <w:iCs/>
        </w:rPr>
        <w:t>District with VTD colored by % Black VAP (yellow represents 0-25% Black, deepest red represents 75-100% Black VAP)</w:t>
      </w:r>
    </w:p>
    <w:p w14:paraId="789229F8" w14:textId="5C505CEA" w:rsidR="006D3632" w:rsidRPr="005B597D" w:rsidRDefault="006D3632" w:rsidP="009B72DC">
      <w:pPr>
        <w:spacing w:line="480" w:lineRule="auto"/>
      </w:pPr>
      <w:r>
        <w:tab/>
      </w:r>
      <w:r w:rsidR="00A904AA">
        <w:t xml:space="preserve">I then drew </w:t>
      </w:r>
      <w:r>
        <w:t xml:space="preserve">District 2 to </w:t>
      </w:r>
      <w:r w:rsidR="00FE6DB7">
        <w:t>combine the Delmarva Peninsula with</w:t>
      </w:r>
      <w:r>
        <w:t xml:space="preserve"> the remaining portions of </w:t>
      </w:r>
      <w:r w:rsidR="00FE6DB7">
        <w:t xml:space="preserve">Hampton, </w:t>
      </w:r>
      <w:r>
        <w:t>N</w:t>
      </w:r>
      <w:r w:rsidR="00A904AA">
        <w:t xml:space="preserve">orfolk and Chesapeake City, </w:t>
      </w:r>
      <w:r w:rsidR="00FE6DB7">
        <w:t xml:space="preserve">and the entire </w:t>
      </w:r>
      <w:r w:rsidR="00A904AA">
        <w:t xml:space="preserve">Virginia Beach </w:t>
      </w:r>
      <w:r w:rsidR="00FE6DB7">
        <w:t>area. I also had to place Poquoson City and a small portion of York in District 2 for population reasons. However, these counties</w:t>
      </w:r>
      <w:r w:rsidR="002F4F5F">
        <w:t xml:space="preserve"> are all firmly Tidewater</w:t>
      </w:r>
      <w:r w:rsidR="005B1878">
        <w:t xml:space="preserve"> in </w:t>
      </w:r>
      <w:proofErr w:type="spellStart"/>
      <w:r w:rsidR="005B1878">
        <w:t>their</w:t>
      </w:r>
      <w:proofErr w:type="spellEnd"/>
      <w:r w:rsidR="002F4F5F">
        <w:t>,</w:t>
      </w:r>
      <w:r w:rsidR="00FE6DB7">
        <w:t xml:space="preserve"> </w:t>
      </w:r>
      <w:r w:rsidR="002F4F5F">
        <w:t>sharing</w:t>
      </w:r>
      <w:r w:rsidR="00FE6DB7">
        <w:t xml:space="preserve"> the Chesapeake Bay</w:t>
      </w:r>
      <w:r w:rsidR="005B1878">
        <w:t xml:space="preserve"> as source of employment</w:t>
      </w:r>
      <w:r w:rsidR="002F4F5F">
        <w:t xml:space="preserve">. </w:t>
      </w:r>
      <w:r w:rsidR="005B1878">
        <w:t xml:space="preserve">Many of the people who live in these areas commute into the Hampton Roads area for work. </w:t>
      </w:r>
      <w:r w:rsidR="002F4F5F">
        <w:t>Drawing the map this way also includes three Naval bases and their surrounding communities in the 2</w:t>
      </w:r>
      <w:r w:rsidR="002F4F5F" w:rsidRPr="002F4F5F">
        <w:rPr>
          <w:vertAlign w:val="superscript"/>
        </w:rPr>
        <w:t>nd</w:t>
      </w:r>
      <w:r w:rsidR="002F4F5F">
        <w:t xml:space="preserve"> District.</w:t>
      </w:r>
    </w:p>
    <w:p w14:paraId="3047E74B" w14:textId="17636337" w:rsidR="004C38EF" w:rsidRDefault="00207F4A" w:rsidP="009B72DC">
      <w:pPr>
        <w:spacing w:line="480" w:lineRule="auto"/>
        <w:rPr>
          <w:u w:val="single"/>
        </w:rPr>
      </w:pPr>
      <w:r>
        <w:rPr>
          <w:noProof/>
        </w:rPr>
        <w:lastRenderedPageBreak/>
        <w:drawing>
          <wp:anchor distT="0" distB="0" distL="114300" distR="114300" simplePos="0" relativeHeight="251672576" behindDoc="1" locked="0" layoutInCell="1" allowOverlap="1" wp14:anchorId="7F300047" wp14:editId="1AD7AE2B">
            <wp:simplePos x="0" y="0"/>
            <wp:positionH relativeFrom="column">
              <wp:posOffset>16933</wp:posOffset>
            </wp:positionH>
            <wp:positionV relativeFrom="paragraph">
              <wp:posOffset>4092363</wp:posOffset>
            </wp:positionV>
            <wp:extent cx="5791200" cy="3771087"/>
            <wp:effectExtent l="0" t="0" r="0" b="1270"/>
            <wp:wrapTight wrapText="bothSides">
              <wp:wrapPolygon edited="0">
                <wp:start x="0" y="0"/>
                <wp:lineTo x="0" y="21535"/>
                <wp:lineTo x="21553" y="21535"/>
                <wp:lineTo x="21553" y="0"/>
                <wp:lineTo x="0" y="0"/>
              </wp:wrapPolygon>
            </wp:wrapTight>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91200" cy="3771087"/>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1" locked="0" layoutInCell="1" allowOverlap="1" wp14:anchorId="4FB05F0B" wp14:editId="68924D92">
            <wp:simplePos x="0" y="0"/>
            <wp:positionH relativeFrom="column">
              <wp:posOffset>-85090</wp:posOffset>
            </wp:positionH>
            <wp:positionV relativeFrom="paragraph">
              <wp:posOffset>295910</wp:posOffset>
            </wp:positionV>
            <wp:extent cx="5545455" cy="3898900"/>
            <wp:effectExtent l="0" t="0" r="4445" b="0"/>
            <wp:wrapTight wrapText="bothSides">
              <wp:wrapPolygon edited="0">
                <wp:start x="0" y="0"/>
                <wp:lineTo x="0" y="21530"/>
                <wp:lineTo x="21568" y="21530"/>
                <wp:lineTo x="21568" y="0"/>
                <wp:lineTo x="0" y="0"/>
              </wp:wrapPolygon>
            </wp:wrapTight>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45455" cy="3898900"/>
                    </a:xfrm>
                    <a:prstGeom prst="rect">
                      <a:avLst/>
                    </a:prstGeom>
                  </pic:spPr>
                </pic:pic>
              </a:graphicData>
            </a:graphic>
            <wp14:sizeRelH relativeFrom="page">
              <wp14:pctWidth>0</wp14:pctWidth>
            </wp14:sizeRelH>
            <wp14:sizeRelV relativeFrom="page">
              <wp14:pctHeight>0</wp14:pctHeight>
            </wp14:sizeRelV>
          </wp:anchor>
        </w:drawing>
      </w:r>
      <w:r w:rsidR="007B6DF8">
        <w:rPr>
          <w:u w:val="single"/>
        </w:rPr>
        <w:t xml:space="preserve">Richmond and Southside: </w:t>
      </w:r>
      <w:r w:rsidR="004C38EF">
        <w:rPr>
          <w:u w:val="single"/>
        </w:rPr>
        <w:t>District 4 and 5</w:t>
      </w:r>
    </w:p>
    <w:p w14:paraId="4EEE5C5E" w14:textId="2B9ED543" w:rsidR="00A07000" w:rsidRDefault="007B6DF8" w:rsidP="009B72DC">
      <w:pPr>
        <w:spacing w:line="480" w:lineRule="auto"/>
      </w:pPr>
      <w:r>
        <w:lastRenderedPageBreak/>
        <w:tab/>
        <w:t>I next drew District 4.</w:t>
      </w:r>
      <w:r w:rsidR="004503BF">
        <w:t xml:space="preserve"> Its northernmost point is the southeastern suburbs of </w:t>
      </w:r>
      <w:proofErr w:type="gramStart"/>
      <w:r w:rsidR="004503BF">
        <w:t>Richmond</w:t>
      </w:r>
      <w:proofErr w:type="gramEnd"/>
      <w:r w:rsidR="00D233B8">
        <w:t xml:space="preserve"> and it includes major cities Williamsburg and Petersburg.</w:t>
      </w:r>
      <w:r w:rsidR="007E1FEF">
        <w:t xml:space="preserve"> </w:t>
      </w:r>
      <w:r w:rsidR="0051612E">
        <w:t xml:space="preserve">While it would be preferable to </w:t>
      </w:r>
      <w:r w:rsidR="006C0475">
        <w:t>keep Richmond and its suburbs within a single district, doing so would</w:t>
      </w:r>
      <w:r w:rsidR="0051612E">
        <w:t xml:space="preserve"> present dilution issues because Black voters would only make up 30% of VAP</w:t>
      </w:r>
      <w:r w:rsidR="00C90F35">
        <w:t xml:space="preserve">. </w:t>
      </w:r>
      <w:r w:rsidR="006C0475">
        <w:rPr>
          <w:rStyle w:val="FootnoteReference"/>
        </w:rPr>
        <w:footnoteReference w:id="36"/>
      </w:r>
      <w:r w:rsidR="00C90F35">
        <w:t xml:space="preserve"> Thus, it was necessary to construct a district </w:t>
      </w:r>
      <w:r w:rsidR="00890ABD">
        <w:t xml:space="preserve">which combined other urban centers. The resulting Black VAP was </w:t>
      </w:r>
      <w:r w:rsidR="00110C3E">
        <w:t xml:space="preserve">40.2%, legally compliant </w:t>
      </w:r>
      <w:r w:rsidR="00B76B0D">
        <w:t>and likely</w:t>
      </w:r>
      <w:r w:rsidR="00110C3E">
        <w:t xml:space="preserve"> high enough to permit the Black community to elect their candidate of choice.</w:t>
      </w:r>
    </w:p>
    <w:p w14:paraId="076848A1" w14:textId="20F2A3B7" w:rsidR="00422A12" w:rsidRDefault="00422A12" w:rsidP="00422A12">
      <w:pPr>
        <w:spacing w:line="480" w:lineRule="auto"/>
        <w:jc w:val="center"/>
        <w:rPr>
          <w:i/>
          <w:iCs/>
        </w:rPr>
      </w:pPr>
      <w:r>
        <w:rPr>
          <w:noProof/>
        </w:rPr>
        <w:drawing>
          <wp:anchor distT="0" distB="0" distL="114300" distR="114300" simplePos="0" relativeHeight="251679744" behindDoc="0" locked="0" layoutInCell="1" allowOverlap="1" wp14:anchorId="16ED20B8" wp14:editId="7D2EB71B">
            <wp:simplePos x="0" y="0"/>
            <wp:positionH relativeFrom="column">
              <wp:posOffset>338667</wp:posOffset>
            </wp:positionH>
            <wp:positionV relativeFrom="paragraph">
              <wp:posOffset>701040</wp:posOffset>
            </wp:positionV>
            <wp:extent cx="5361940" cy="3357880"/>
            <wp:effectExtent l="0" t="0" r="0" b="0"/>
            <wp:wrapTopAndBottom/>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61940" cy="3357880"/>
                    </a:xfrm>
                    <a:prstGeom prst="rect">
                      <a:avLst/>
                    </a:prstGeom>
                    <a:noFill/>
                    <a:ln>
                      <a:noFill/>
                    </a:ln>
                  </pic:spPr>
                </pic:pic>
              </a:graphicData>
            </a:graphic>
            <wp14:sizeRelH relativeFrom="page">
              <wp14:pctWidth>0</wp14:pctWidth>
            </wp14:sizeRelH>
            <wp14:sizeRelV relativeFrom="page">
              <wp14:pctHeight>0</wp14:pctHeight>
            </wp14:sizeRelV>
          </wp:anchor>
        </w:drawing>
      </w:r>
      <w:r>
        <w:rPr>
          <w:i/>
          <w:iCs/>
        </w:rPr>
        <w:t>4th</w:t>
      </w:r>
      <w:r>
        <w:rPr>
          <w:i/>
          <w:iCs/>
          <w:vertAlign w:val="superscript"/>
        </w:rPr>
        <w:t xml:space="preserve"> </w:t>
      </w:r>
      <w:r>
        <w:rPr>
          <w:i/>
          <w:iCs/>
        </w:rPr>
        <w:t>District with VTD colored by % Black VAP (yellow represents 0-25% Black, deepest red represents 75-100% Black VAP)</w:t>
      </w:r>
    </w:p>
    <w:p w14:paraId="3889EA9A" w14:textId="7E5BC071" w:rsidR="00422A12" w:rsidRPr="00422A12" w:rsidRDefault="00422A12" w:rsidP="00422A12">
      <w:r>
        <w:fldChar w:fldCharType="begin"/>
      </w:r>
      <w:r>
        <w:instrText xml:space="preserve"> INCLUDEPICTURE "https://drawcongress.org/wp-content/uploads/Screen-Shot-2022-03-29-at-2.47.34-PM.png" \* MERGEFORMATINET </w:instrText>
      </w:r>
      <w:r>
        <w:fldChar w:fldCharType="separate"/>
      </w:r>
      <w:r>
        <w:fldChar w:fldCharType="end"/>
      </w:r>
    </w:p>
    <w:p w14:paraId="77BDAF01" w14:textId="4CFA7F42" w:rsidR="00110C3E" w:rsidRDefault="00404F22" w:rsidP="009B72DC">
      <w:pPr>
        <w:spacing w:line="480" w:lineRule="auto"/>
      </w:pPr>
      <w:r>
        <w:tab/>
        <w:t xml:space="preserve">I drew District 5 as a counterpart to 4, containing the </w:t>
      </w:r>
      <w:r w:rsidR="000B4F50">
        <w:t>remaining southwestern suburbs of Richmond (</w:t>
      </w:r>
      <w:r w:rsidR="00D43F25">
        <w:t xml:space="preserve">located </w:t>
      </w:r>
      <w:r w:rsidR="000B4F50">
        <w:t xml:space="preserve">in Chesterfield County). </w:t>
      </w:r>
      <w:r>
        <w:t xml:space="preserve">District 5 has historically been </w:t>
      </w:r>
      <w:r w:rsidR="000B4F50">
        <w:t>a</w:t>
      </w:r>
      <w:r>
        <w:t xml:space="preserve"> Southside district, rooted in Danville</w:t>
      </w:r>
      <w:r w:rsidR="000B4F50">
        <w:t xml:space="preserve">, but I needed to include Martinsville and </w:t>
      </w:r>
      <w:r w:rsidR="00D43F25">
        <w:t>parts</w:t>
      </w:r>
      <w:r w:rsidR="000B4F50">
        <w:t xml:space="preserve"> of Richmond to reach equal </w:t>
      </w:r>
      <w:r w:rsidR="000B4F50">
        <w:lastRenderedPageBreak/>
        <w:t xml:space="preserve">population. Even so, the </w:t>
      </w:r>
      <w:proofErr w:type="gramStart"/>
      <w:r w:rsidR="000B4F50">
        <w:t>District</w:t>
      </w:r>
      <w:proofErr w:type="gramEnd"/>
      <w:r w:rsidR="000B4F50">
        <w:t xml:space="preserve"> is far more compact and culturally coherent than the former 5</w:t>
      </w:r>
      <w:r w:rsidR="000B4F50" w:rsidRPr="000B4F50">
        <w:rPr>
          <w:vertAlign w:val="superscript"/>
        </w:rPr>
        <w:t>th</w:t>
      </w:r>
      <w:r w:rsidR="000B4F50">
        <w:t xml:space="preserve"> District, which </w:t>
      </w:r>
      <w:r w:rsidR="00D43F25">
        <w:t xml:space="preserve">essentially </w:t>
      </w:r>
      <w:r w:rsidR="000B4F50">
        <w:t xml:space="preserve">stretched from </w:t>
      </w:r>
      <w:r w:rsidR="00562F7C">
        <w:t>North Carolina to Maryland.</w:t>
      </w:r>
    </w:p>
    <w:p w14:paraId="40F0DDAB" w14:textId="53566071" w:rsidR="00463841" w:rsidRPr="00463841" w:rsidRDefault="005135C0" w:rsidP="00880319">
      <w:pPr>
        <w:spacing w:line="480" w:lineRule="auto"/>
        <w:ind w:left="720"/>
        <w:rPr>
          <w:i/>
          <w:iCs/>
        </w:rPr>
      </w:pPr>
      <w:r w:rsidRPr="00463841">
        <w:rPr>
          <w:noProof/>
        </w:rPr>
        <w:drawing>
          <wp:anchor distT="0" distB="0" distL="114300" distR="114300" simplePos="0" relativeHeight="251676672" behindDoc="1" locked="0" layoutInCell="1" allowOverlap="1" wp14:anchorId="067154F2" wp14:editId="7B6E8F6F">
            <wp:simplePos x="0" y="0"/>
            <wp:positionH relativeFrom="column">
              <wp:posOffset>1007533</wp:posOffset>
            </wp:positionH>
            <wp:positionV relativeFrom="paragraph">
              <wp:posOffset>352425</wp:posOffset>
            </wp:positionV>
            <wp:extent cx="3505200" cy="3078480"/>
            <wp:effectExtent l="0" t="0" r="0" b="0"/>
            <wp:wrapTight wrapText="bothSides">
              <wp:wrapPolygon edited="0">
                <wp:start x="0" y="0"/>
                <wp:lineTo x="0" y="21475"/>
                <wp:lineTo x="21522" y="21475"/>
                <wp:lineTo x="21522" y="0"/>
                <wp:lineTo x="0" y="0"/>
              </wp:wrapPolygon>
            </wp:wrapTight>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05200" cy="307848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841">
        <w:rPr>
          <w:i/>
          <w:iCs/>
        </w:rPr>
        <w:t>Richmond</w:t>
      </w:r>
      <w:r>
        <w:rPr>
          <w:i/>
          <w:iCs/>
        </w:rPr>
        <w:t xml:space="preserve"> Divided by the 4</w:t>
      </w:r>
      <w:r w:rsidRPr="005135C0">
        <w:rPr>
          <w:i/>
          <w:iCs/>
          <w:vertAlign w:val="superscript"/>
        </w:rPr>
        <w:t>th</w:t>
      </w:r>
      <w:r>
        <w:rPr>
          <w:i/>
          <w:iCs/>
        </w:rPr>
        <w:t xml:space="preserve"> and 5</w:t>
      </w:r>
      <w:r w:rsidRPr="005135C0">
        <w:rPr>
          <w:i/>
          <w:iCs/>
          <w:vertAlign w:val="superscript"/>
        </w:rPr>
        <w:t>th</w:t>
      </w:r>
      <w:r>
        <w:rPr>
          <w:i/>
          <w:iCs/>
        </w:rPr>
        <w:t xml:space="preserve"> Districts </w:t>
      </w:r>
      <w:r w:rsidR="00880319">
        <w:rPr>
          <w:i/>
          <w:iCs/>
        </w:rPr>
        <w:t>in</w:t>
      </w:r>
      <w:r>
        <w:rPr>
          <w:i/>
          <w:iCs/>
        </w:rPr>
        <w:t xml:space="preserve"> the south</w:t>
      </w:r>
      <w:r w:rsidR="00880319">
        <w:rPr>
          <w:i/>
          <w:iCs/>
        </w:rPr>
        <w:t xml:space="preserve"> and 1</w:t>
      </w:r>
      <w:r w:rsidR="00880319" w:rsidRPr="00880319">
        <w:rPr>
          <w:i/>
          <w:iCs/>
          <w:vertAlign w:val="superscript"/>
        </w:rPr>
        <w:t>st</w:t>
      </w:r>
      <w:r w:rsidR="00880319">
        <w:rPr>
          <w:i/>
          <w:iCs/>
        </w:rPr>
        <w:t xml:space="preserve"> District in the north</w:t>
      </w:r>
    </w:p>
    <w:p w14:paraId="44D48C2C" w14:textId="1F9A3868" w:rsidR="00463841" w:rsidRPr="00463841" w:rsidRDefault="00463841" w:rsidP="00463841">
      <w:r w:rsidRPr="00463841">
        <w:fldChar w:fldCharType="begin"/>
      </w:r>
      <w:r w:rsidRPr="00463841">
        <w:instrText xml:space="preserve"> INCLUDEPICTURE "https://drawcongress.org/wp-content/uploads/Screen-Shot-2022-03-29-at-2.39.57-PM.png" \* MERGEFORMATINET </w:instrText>
      </w:r>
      <w:r w:rsidRPr="00463841">
        <w:fldChar w:fldCharType="separate"/>
      </w:r>
      <w:r w:rsidRPr="00463841">
        <w:fldChar w:fldCharType="end"/>
      </w:r>
    </w:p>
    <w:p w14:paraId="13AF7AB4" w14:textId="647C965F" w:rsidR="00463841" w:rsidRPr="00B44C28" w:rsidRDefault="00463841" w:rsidP="009B72DC">
      <w:pPr>
        <w:spacing w:line="480" w:lineRule="auto"/>
        <w:rPr>
          <w:rFonts w:ascii="TimesNewRomanPSMT" w:hAnsi="TimesNewRomanPSMT"/>
        </w:rPr>
      </w:pPr>
    </w:p>
    <w:p w14:paraId="0FE9509F" w14:textId="77777777" w:rsidR="00422A12" w:rsidRDefault="00422A12" w:rsidP="007B6DF8">
      <w:pPr>
        <w:spacing w:line="480" w:lineRule="auto"/>
        <w:rPr>
          <w:u w:val="single"/>
        </w:rPr>
      </w:pPr>
    </w:p>
    <w:p w14:paraId="52234B24" w14:textId="77777777" w:rsidR="00422A12" w:rsidRDefault="00422A12" w:rsidP="007B6DF8">
      <w:pPr>
        <w:spacing w:line="480" w:lineRule="auto"/>
        <w:rPr>
          <w:u w:val="single"/>
        </w:rPr>
      </w:pPr>
    </w:p>
    <w:p w14:paraId="289AA0B7" w14:textId="77777777" w:rsidR="00422A12" w:rsidRDefault="00422A12" w:rsidP="007B6DF8">
      <w:pPr>
        <w:spacing w:line="480" w:lineRule="auto"/>
        <w:rPr>
          <w:u w:val="single"/>
        </w:rPr>
      </w:pPr>
    </w:p>
    <w:p w14:paraId="5A50445C" w14:textId="77777777" w:rsidR="00422A12" w:rsidRDefault="00422A12" w:rsidP="007B6DF8">
      <w:pPr>
        <w:spacing w:line="480" w:lineRule="auto"/>
        <w:rPr>
          <w:u w:val="single"/>
        </w:rPr>
      </w:pPr>
    </w:p>
    <w:p w14:paraId="51182107" w14:textId="77777777" w:rsidR="00422A12" w:rsidRDefault="00422A12" w:rsidP="007B6DF8">
      <w:pPr>
        <w:spacing w:line="480" w:lineRule="auto"/>
        <w:rPr>
          <w:u w:val="single"/>
        </w:rPr>
      </w:pPr>
    </w:p>
    <w:p w14:paraId="19088A62" w14:textId="77777777" w:rsidR="00422A12" w:rsidRDefault="00422A12" w:rsidP="007B6DF8">
      <w:pPr>
        <w:spacing w:line="480" w:lineRule="auto"/>
        <w:rPr>
          <w:u w:val="single"/>
        </w:rPr>
      </w:pPr>
    </w:p>
    <w:p w14:paraId="70736020" w14:textId="77777777" w:rsidR="00422A12" w:rsidRDefault="00422A12" w:rsidP="007B6DF8">
      <w:pPr>
        <w:spacing w:line="480" w:lineRule="auto"/>
        <w:rPr>
          <w:u w:val="single"/>
        </w:rPr>
      </w:pPr>
    </w:p>
    <w:p w14:paraId="42E00E59" w14:textId="77B18620" w:rsidR="00207F4A" w:rsidRDefault="00437774" w:rsidP="007B6DF8">
      <w:pPr>
        <w:spacing w:line="480" w:lineRule="auto"/>
        <w:rPr>
          <w:u w:val="single"/>
        </w:rPr>
      </w:pPr>
      <w:r>
        <w:rPr>
          <w:noProof/>
          <w:u w:val="single"/>
        </w:rPr>
        <w:lastRenderedPageBreak/>
        <w:drawing>
          <wp:anchor distT="0" distB="0" distL="114300" distR="114300" simplePos="0" relativeHeight="251675648" behindDoc="1" locked="0" layoutInCell="1" allowOverlap="1" wp14:anchorId="70C6636C" wp14:editId="3D6BE3C3">
            <wp:simplePos x="0" y="0"/>
            <wp:positionH relativeFrom="column">
              <wp:posOffset>245534</wp:posOffset>
            </wp:positionH>
            <wp:positionV relativeFrom="paragraph">
              <wp:posOffset>347345</wp:posOffset>
            </wp:positionV>
            <wp:extent cx="5231765" cy="3987800"/>
            <wp:effectExtent l="0" t="0" r="635" b="0"/>
            <wp:wrapTight wrapText="bothSides">
              <wp:wrapPolygon edited="0">
                <wp:start x="0" y="0"/>
                <wp:lineTo x="0" y="21531"/>
                <wp:lineTo x="21550" y="21531"/>
                <wp:lineTo x="21550" y="0"/>
                <wp:lineTo x="0" y="0"/>
              </wp:wrapPolygon>
            </wp:wrapTight>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31765" cy="3987800"/>
                    </a:xfrm>
                    <a:prstGeom prst="rect">
                      <a:avLst/>
                    </a:prstGeom>
                  </pic:spPr>
                </pic:pic>
              </a:graphicData>
            </a:graphic>
            <wp14:sizeRelH relativeFrom="page">
              <wp14:pctWidth>0</wp14:pctWidth>
            </wp14:sizeRelH>
            <wp14:sizeRelV relativeFrom="page">
              <wp14:pctHeight>0</wp14:pctHeight>
            </wp14:sizeRelV>
          </wp:anchor>
        </w:drawing>
      </w:r>
      <w:r w:rsidR="007B6DF8" w:rsidRPr="00953FB7">
        <w:rPr>
          <w:u w:val="single"/>
        </w:rPr>
        <w:t>Northern Virginia and Tidewater: District 1</w:t>
      </w:r>
      <w:r w:rsidRPr="00437774">
        <w:rPr>
          <w:noProof/>
          <w:u w:val="single"/>
        </w:rPr>
        <w:t xml:space="preserve"> </w:t>
      </w:r>
    </w:p>
    <w:p w14:paraId="6249B688" w14:textId="1A9A54C9" w:rsidR="0073734D" w:rsidRPr="007B6DF8" w:rsidRDefault="007B6DF8" w:rsidP="007B6DF8">
      <w:pPr>
        <w:spacing w:line="480" w:lineRule="auto"/>
        <w:ind w:firstLine="720"/>
      </w:pPr>
      <w:r>
        <w:t xml:space="preserve">I last drew District 1. Northern Virginia counties Spotsylvania and King George were placed in District 1 because of their </w:t>
      </w:r>
      <w:r w:rsidR="0086719E">
        <w:t xml:space="preserve">locations on </w:t>
      </w:r>
      <w:r>
        <w:t>the Rappahannock and Mattaponi Rivers, Chesapeake Bay tributaries which touch most counties in the 1</w:t>
      </w:r>
      <w:r w:rsidRPr="00A22E4E">
        <w:rPr>
          <w:vertAlign w:val="superscript"/>
        </w:rPr>
        <w:t>st</w:t>
      </w:r>
      <w:r>
        <w:t xml:space="preserve"> District. This district is firmly rooted in the Tidewater Region, with some Northern Richmond suburbs included for population equality purposes. Unlike the </w:t>
      </w:r>
      <w:proofErr w:type="spellStart"/>
      <w:r>
        <w:t>Grofman-Trende</w:t>
      </w:r>
      <w:proofErr w:type="spellEnd"/>
      <w:r>
        <w:t xml:space="preserve"> Plan, this Plan does not need to pull in culturally disparate Piedmont Region counties (now located in District 7).</w:t>
      </w:r>
    </w:p>
    <w:p w14:paraId="4AD6C0EA" w14:textId="757C5F7B" w:rsidR="00BC36BA" w:rsidRPr="00BA1902" w:rsidRDefault="00A8541F" w:rsidP="00BA1902">
      <w:pPr>
        <w:spacing w:line="480" w:lineRule="auto"/>
        <w:rPr>
          <w:rFonts w:ascii="Times" w:hAnsi="Times"/>
          <w:b/>
          <w:bCs/>
          <w:u w:val="single"/>
        </w:rPr>
      </w:pPr>
      <w:r w:rsidRPr="00BA1902">
        <w:rPr>
          <w:rFonts w:ascii="Times" w:hAnsi="Times"/>
          <w:b/>
          <w:bCs/>
          <w:u w:val="single"/>
        </w:rPr>
        <w:t xml:space="preserve">Tradeoffs </w:t>
      </w:r>
    </w:p>
    <w:p w14:paraId="317CE36D" w14:textId="3D0F87B7" w:rsidR="00BC36BA" w:rsidRPr="00BA1902" w:rsidRDefault="003C4A6A" w:rsidP="00BA1902">
      <w:pPr>
        <w:spacing w:line="480" w:lineRule="auto"/>
        <w:ind w:firstLine="720"/>
        <w:rPr>
          <w:rFonts w:ascii="Times" w:hAnsi="Times"/>
        </w:rPr>
      </w:pPr>
      <w:r w:rsidRPr="00BA1902">
        <w:rPr>
          <w:rFonts w:ascii="Times" w:hAnsi="Times"/>
        </w:rPr>
        <w:t xml:space="preserve">First, </w:t>
      </w:r>
      <w:r w:rsidR="00F45D8A">
        <w:rPr>
          <w:rFonts w:ascii="Times" w:hAnsi="Times"/>
        </w:rPr>
        <w:t>this</w:t>
      </w:r>
      <w:r w:rsidRPr="00BA1902">
        <w:rPr>
          <w:rFonts w:ascii="Times" w:hAnsi="Times"/>
        </w:rPr>
        <w:t xml:space="preserve"> map </w:t>
      </w:r>
      <w:r w:rsidR="00F45D8A">
        <w:rPr>
          <w:rFonts w:ascii="Times" w:hAnsi="Times"/>
        </w:rPr>
        <w:t>departs notably</w:t>
      </w:r>
      <w:r w:rsidRPr="00BA1902">
        <w:rPr>
          <w:rFonts w:ascii="Times" w:hAnsi="Times"/>
        </w:rPr>
        <w:t xml:space="preserve"> from </w:t>
      </w:r>
      <w:r w:rsidR="00F45D8A">
        <w:rPr>
          <w:rFonts w:ascii="Times" w:hAnsi="Times"/>
        </w:rPr>
        <w:t xml:space="preserve">Virginia’s </w:t>
      </w:r>
      <w:r w:rsidR="00CA110B">
        <w:rPr>
          <w:rFonts w:ascii="Times" w:hAnsi="Times"/>
        </w:rPr>
        <w:t>preexisting</w:t>
      </w:r>
      <w:r w:rsidR="00F45D8A">
        <w:rPr>
          <w:rFonts w:ascii="Times" w:hAnsi="Times"/>
        </w:rPr>
        <w:t xml:space="preserve"> map</w:t>
      </w:r>
      <w:r w:rsidR="00CA110B">
        <w:rPr>
          <w:rFonts w:ascii="Times" w:hAnsi="Times"/>
        </w:rPr>
        <w:t>, especially in the 5</w:t>
      </w:r>
      <w:proofErr w:type="gramStart"/>
      <w:r w:rsidR="00CA110B" w:rsidRPr="00CA110B">
        <w:rPr>
          <w:rFonts w:ascii="Times" w:hAnsi="Times"/>
          <w:vertAlign w:val="superscript"/>
        </w:rPr>
        <w:t>th</w:t>
      </w:r>
      <w:r w:rsidR="002042F5">
        <w:rPr>
          <w:rFonts w:ascii="Times" w:hAnsi="Times"/>
          <w:vertAlign w:val="superscript"/>
        </w:rPr>
        <w:t xml:space="preserve"> </w:t>
      </w:r>
      <w:r w:rsidR="002042F5">
        <w:rPr>
          <w:rFonts w:ascii="Times" w:hAnsi="Times"/>
        </w:rPr>
        <w:t>,</w:t>
      </w:r>
      <w:proofErr w:type="gramEnd"/>
      <w:r w:rsidR="002042F5">
        <w:rPr>
          <w:rFonts w:ascii="Times" w:hAnsi="Times"/>
        </w:rPr>
        <w:t xml:space="preserve"> 7</w:t>
      </w:r>
      <w:r w:rsidR="002042F5" w:rsidRPr="002042F5">
        <w:rPr>
          <w:rFonts w:ascii="Times" w:hAnsi="Times"/>
          <w:vertAlign w:val="superscript"/>
        </w:rPr>
        <w:t>th</w:t>
      </w:r>
      <w:r w:rsidR="002042F5">
        <w:rPr>
          <w:rFonts w:ascii="Times" w:hAnsi="Times"/>
        </w:rPr>
        <w:t>, and 10</w:t>
      </w:r>
      <w:r w:rsidR="002042F5" w:rsidRPr="002042F5">
        <w:rPr>
          <w:rFonts w:ascii="Times" w:hAnsi="Times"/>
          <w:vertAlign w:val="superscript"/>
        </w:rPr>
        <w:t>th</w:t>
      </w:r>
      <w:r w:rsidR="002042F5">
        <w:rPr>
          <w:rFonts w:ascii="Times" w:hAnsi="Times"/>
        </w:rPr>
        <w:t xml:space="preserve"> Districts</w:t>
      </w:r>
      <w:r w:rsidR="00CE52D7">
        <w:rPr>
          <w:rFonts w:ascii="Times" w:hAnsi="Times"/>
        </w:rPr>
        <w:t xml:space="preserve">. </w:t>
      </w:r>
      <w:r w:rsidR="00A51F2C">
        <w:rPr>
          <w:rFonts w:ascii="Times" w:hAnsi="Times"/>
        </w:rPr>
        <w:t xml:space="preserve">I am concerned that redistricting practices placing certain counties in certain districts are so entrenched that there may be community or candidate-led complaints about the </w:t>
      </w:r>
      <w:r w:rsidR="00A51F2C">
        <w:rPr>
          <w:rFonts w:ascii="Times" w:hAnsi="Times"/>
        </w:rPr>
        <w:lastRenderedPageBreak/>
        <w:t>change.</w:t>
      </w:r>
      <w:r w:rsidR="00F911FC">
        <w:rPr>
          <w:rFonts w:ascii="Times" w:hAnsi="Times"/>
        </w:rPr>
        <w:t xml:space="preserve"> However, because there is no legal requirement for least change, I opted to make districts more culturally cohesive in a way I hope </w:t>
      </w:r>
      <w:r w:rsidR="00F34346">
        <w:rPr>
          <w:rFonts w:ascii="Times" w:hAnsi="Times"/>
        </w:rPr>
        <w:t>makes up for the departures.</w:t>
      </w:r>
    </w:p>
    <w:p w14:paraId="17A01F09" w14:textId="02CAC1EA" w:rsidR="004A6EB4" w:rsidRDefault="00AA2C27" w:rsidP="004A6EB4">
      <w:pPr>
        <w:spacing w:line="480" w:lineRule="auto"/>
        <w:ind w:firstLine="720"/>
        <w:rPr>
          <w:rFonts w:ascii="Times" w:hAnsi="Times"/>
        </w:rPr>
      </w:pPr>
      <w:r>
        <w:rPr>
          <w:rFonts w:ascii="Times" w:hAnsi="Times"/>
        </w:rPr>
        <w:t xml:space="preserve">Second, drawing lines to </w:t>
      </w:r>
      <w:r w:rsidR="00DE0164">
        <w:rPr>
          <w:rFonts w:ascii="Times" w:hAnsi="Times"/>
        </w:rPr>
        <w:t xml:space="preserve">properly </w:t>
      </w:r>
      <w:r>
        <w:rPr>
          <w:rFonts w:ascii="Times" w:hAnsi="Times"/>
        </w:rPr>
        <w:t>distribute</w:t>
      </w:r>
      <w:r w:rsidR="003C4A6A" w:rsidRPr="00BA1902">
        <w:rPr>
          <w:rFonts w:ascii="Times" w:hAnsi="Times"/>
        </w:rPr>
        <w:t xml:space="preserve"> Black voters</w:t>
      </w:r>
      <w:r w:rsidR="00DE0164">
        <w:rPr>
          <w:rFonts w:ascii="Times" w:hAnsi="Times"/>
        </w:rPr>
        <w:t xml:space="preserve"> between the 3</w:t>
      </w:r>
      <w:r w:rsidR="00DE0164" w:rsidRPr="00DE0164">
        <w:rPr>
          <w:rFonts w:ascii="Times" w:hAnsi="Times"/>
          <w:vertAlign w:val="superscript"/>
        </w:rPr>
        <w:t>rd</w:t>
      </w:r>
      <w:r w:rsidR="00DE0164">
        <w:rPr>
          <w:rFonts w:ascii="Times" w:hAnsi="Times"/>
        </w:rPr>
        <w:t xml:space="preserve"> and 4</w:t>
      </w:r>
      <w:r w:rsidR="00DE0164" w:rsidRPr="00DE0164">
        <w:rPr>
          <w:rFonts w:ascii="Times" w:hAnsi="Times"/>
          <w:vertAlign w:val="superscript"/>
        </w:rPr>
        <w:t>th</w:t>
      </w:r>
      <w:r w:rsidR="00DE0164">
        <w:rPr>
          <w:rFonts w:ascii="Times" w:hAnsi="Times"/>
        </w:rPr>
        <w:t xml:space="preserve"> Districts</w:t>
      </w:r>
      <w:r>
        <w:rPr>
          <w:rFonts w:ascii="Times" w:hAnsi="Times"/>
        </w:rPr>
        <w:t xml:space="preserve"> mean</w:t>
      </w:r>
      <w:r w:rsidR="006D3368">
        <w:rPr>
          <w:rFonts w:ascii="Times" w:hAnsi="Times"/>
        </w:rPr>
        <w:t xml:space="preserve">t splitting more cities and counties than was ideal. </w:t>
      </w:r>
      <w:r w:rsidR="00DE0164">
        <w:rPr>
          <w:rFonts w:ascii="Times" w:hAnsi="Times"/>
        </w:rPr>
        <w:t xml:space="preserve">The Richmond and Hampton Roads areas, besides being densely populated by Black people, is also rife with </w:t>
      </w:r>
      <w:r w:rsidR="009B748D">
        <w:rPr>
          <w:rFonts w:ascii="Times" w:hAnsi="Times"/>
        </w:rPr>
        <w:t>smaller urban subdivision lines</w:t>
      </w:r>
      <w:r w:rsidR="00110F8A">
        <w:rPr>
          <w:rFonts w:ascii="Times" w:hAnsi="Times"/>
        </w:rPr>
        <w:t xml:space="preserve">. Respecting these lines would come at the expense of </w:t>
      </w:r>
      <w:r w:rsidR="00F73995">
        <w:rPr>
          <w:rFonts w:ascii="Times" w:hAnsi="Times"/>
        </w:rPr>
        <w:t>Black voting power and dilute Black communities into districts where they would be less likely to be able to elect their candidate of choice</w:t>
      </w:r>
      <w:r w:rsidR="008E2A67">
        <w:rPr>
          <w:rFonts w:ascii="Times" w:hAnsi="Times"/>
        </w:rPr>
        <w:t>, so I opted to split more municipalities.</w:t>
      </w:r>
    </w:p>
    <w:p w14:paraId="2D911D02" w14:textId="68B8798F" w:rsidR="005F4570" w:rsidRPr="00CA51CE" w:rsidRDefault="00947010" w:rsidP="006E6E5D">
      <w:pPr>
        <w:pStyle w:val="ListParagraph"/>
        <w:numPr>
          <w:ilvl w:val="0"/>
          <w:numId w:val="2"/>
        </w:numPr>
        <w:spacing w:line="480" w:lineRule="auto"/>
        <w:jc w:val="center"/>
        <w:rPr>
          <w:rFonts w:ascii="Times" w:hAnsi="Times"/>
          <w:b/>
          <w:bCs/>
          <w:sz w:val="32"/>
          <w:szCs w:val="32"/>
        </w:rPr>
      </w:pPr>
      <w:r w:rsidRPr="00CA51CE">
        <w:rPr>
          <w:rFonts w:ascii="Times" w:hAnsi="Times"/>
          <w:b/>
          <w:bCs/>
          <w:sz w:val="32"/>
          <w:szCs w:val="32"/>
        </w:rPr>
        <w:t>Community of Interest Plan</w:t>
      </w:r>
    </w:p>
    <w:p w14:paraId="081C5E5C" w14:textId="3DBFFE27" w:rsidR="006E6E5D" w:rsidRPr="006E6E5D" w:rsidRDefault="00C72021" w:rsidP="006E6E5D">
      <w:pPr>
        <w:pStyle w:val="ListParagraph"/>
        <w:spacing w:line="480" w:lineRule="auto"/>
        <w:ind w:left="1800"/>
        <w:rPr>
          <w:rFonts w:ascii="Times" w:hAnsi="Times"/>
          <w:b/>
          <w:bCs/>
          <w:sz w:val="32"/>
          <w:szCs w:val="32"/>
        </w:rPr>
      </w:pPr>
      <w:r>
        <w:rPr>
          <w:rFonts w:ascii="Times" w:hAnsi="Times"/>
          <w:noProof/>
        </w:rPr>
        <w:drawing>
          <wp:inline distT="0" distB="0" distL="0" distR="0" wp14:anchorId="0985E222" wp14:editId="7040DC29">
            <wp:extent cx="3770026" cy="1717456"/>
            <wp:effectExtent l="0" t="0" r="1905" b="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85393" cy="1724457"/>
                    </a:xfrm>
                    <a:prstGeom prst="rect">
                      <a:avLst/>
                    </a:prstGeom>
                  </pic:spPr>
                </pic:pic>
              </a:graphicData>
            </a:graphic>
          </wp:inline>
        </w:drawing>
      </w:r>
    </w:p>
    <w:p w14:paraId="77A9B3E4" w14:textId="189373C5" w:rsidR="000364D5" w:rsidRPr="000364D5" w:rsidRDefault="000364D5" w:rsidP="00AC4166">
      <w:pPr>
        <w:spacing w:line="360" w:lineRule="auto"/>
        <w:rPr>
          <w:rFonts w:ascii="Times" w:hAnsi="Times"/>
          <w:b/>
          <w:bCs/>
        </w:rPr>
      </w:pPr>
      <w:r>
        <w:rPr>
          <w:rFonts w:ascii="Times" w:hAnsi="Times"/>
          <w:b/>
          <w:bCs/>
        </w:rPr>
        <w:t>Redistricting Principles</w:t>
      </w:r>
      <w:r w:rsidR="00AC4166">
        <w:rPr>
          <w:rFonts w:ascii="Times" w:hAnsi="Times"/>
          <w:b/>
          <w:bCs/>
        </w:rPr>
        <w:t xml:space="preserve"> and </w:t>
      </w:r>
      <w:r w:rsidR="00AC4166" w:rsidRPr="00AC05FD">
        <w:rPr>
          <w:rFonts w:ascii="TimesNewRomanPSMT" w:hAnsi="TimesNewRomanPSMT"/>
          <w:b/>
          <w:bCs/>
        </w:rPr>
        <w:t>Map Summary</w:t>
      </w:r>
    </w:p>
    <w:p w14:paraId="2E5FB37E" w14:textId="78FF99D9" w:rsidR="00D45478" w:rsidRDefault="00B97559" w:rsidP="00545457">
      <w:pPr>
        <w:spacing w:line="480" w:lineRule="auto"/>
        <w:ind w:firstLine="720"/>
        <w:jc w:val="both"/>
      </w:pPr>
      <w:r>
        <w:rPr>
          <w:rFonts w:ascii="Times" w:hAnsi="Times"/>
        </w:rPr>
        <w:t xml:space="preserve">This plan attempted to maximize the number of intact communities of interest within one district. </w:t>
      </w:r>
      <w:r w:rsidR="005F4570" w:rsidRPr="005F4570">
        <w:rPr>
          <w:rFonts w:ascii="Times" w:hAnsi="Times"/>
        </w:rPr>
        <w:t>According to s</w:t>
      </w:r>
      <w:r w:rsidR="005F4570">
        <w:rPr>
          <w:rFonts w:ascii="Times" w:hAnsi="Times"/>
        </w:rPr>
        <w:t>tate law, a</w:t>
      </w:r>
      <w:r w:rsidR="000B212E" w:rsidRPr="005F4570">
        <w:rPr>
          <w:rFonts w:ascii="Times" w:hAnsi="Times"/>
        </w:rPr>
        <w:t xml:space="preserve"> “community of interest” is </w:t>
      </w:r>
      <w:r w:rsidR="000B212E">
        <w:t>a group of people living in a geographically similar area who share social, cultural, and economic interests.</w:t>
      </w:r>
      <w:r w:rsidR="000B212E">
        <w:rPr>
          <w:rStyle w:val="FootnoteReference"/>
        </w:rPr>
        <w:footnoteReference w:id="37"/>
      </w:r>
      <w:r w:rsidR="000B212E">
        <w:t xml:space="preserve">  </w:t>
      </w:r>
      <w:r w:rsidR="005F4570">
        <w:t>The Supreme Court of the United States has included shared media, public transport, local educational and religious institutions as constituting a community of interest.</w:t>
      </w:r>
      <w:r w:rsidR="005F4570">
        <w:rPr>
          <w:rStyle w:val="FootnoteReference"/>
        </w:rPr>
        <w:footnoteReference w:id="38"/>
      </w:r>
      <w:r w:rsidR="005F4570">
        <w:t xml:space="preserve"> </w:t>
      </w:r>
    </w:p>
    <w:p w14:paraId="41412542" w14:textId="6802963B" w:rsidR="00172C1E" w:rsidRDefault="005F4570" w:rsidP="00AC4166">
      <w:pPr>
        <w:spacing w:line="480" w:lineRule="auto"/>
        <w:ind w:firstLine="720"/>
        <w:jc w:val="both"/>
      </w:pPr>
      <w:r>
        <w:lastRenderedPageBreak/>
        <w:t xml:space="preserve">Incorporating </w:t>
      </w:r>
      <w:r w:rsidR="001166E4">
        <w:t xml:space="preserve">these </w:t>
      </w:r>
      <w:r w:rsidR="00664FEA">
        <w:t>statutory and judicial</w:t>
      </w:r>
      <w:r>
        <w:t xml:space="preserve"> definitions, this plan f</w:t>
      </w:r>
      <w:r w:rsidR="000B212E">
        <w:t>ollow</w:t>
      </w:r>
      <w:r w:rsidR="003F7B52">
        <w:t>ed</w:t>
      </w:r>
      <w:r w:rsidR="000B212E">
        <w:t xml:space="preserve"> the </w:t>
      </w:r>
      <w:proofErr w:type="spellStart"/>
      <w:r w:rsidR="000B212E">
        <w:t>Grofman-Trende</w:t>
      </w:r>
      <w:proofErr w:type="spellEnd"/>
      <w:r w:rsidR="000B212E">
        <w:t xml:space="preserve"> approach</w:t>
      </w:r>
      <w:r>
        <w:t xml:space="preserve"> and</w:t>
      </w:r>
      <w:r w:rsidR="000B212E">
        <w:t xml:space="preserve"> utilized both the communities of interest submitted by Virginians to the Virginia Redistricting Commission and those submitted </w:t>
      </w:r>
      <w:r w:rsidR="001166E4">
        <w:t>to</w:t>
      </w:r>
      <w:r w:rsidR="000B212E">
        <w:t xml:space="preserve"> Representable, a non-profit organization that solicits and digitally stores communities of interest.</w:t>
      </w:r>
      <w:r w:rsidR="000B212E">
        <w:rPr>
          <w:rStyle w:val="FootnoteReference"/>
        </w:rPr>
        <w:footnoteReference w:id="39"/>
      </w:r>
      <w:r w:rsidR="000B212E">
        <w:t xml:space="preserve"> This plan radically prioritized preserving these communities of interes</w:t>
      </w:r>
      <w:r w:rsidR="00DB02DA">
        <w:t>t</w:t>
      </w:r>
      <w:r w:rsidR="001166E4" w:rsidRPr="001166E4">
        <w:softHyphen/>
        <w:t>,</w:t>
      </w:r>
      <w:r w:rsidR="000B212E">
        <w:t xml:space="preserve"> at the expense of VRA compliance and political subdivision split minimization. </w:t>
      </w:r>
      <w:r w:rsidR="0055428B">
        <w:t>Avoiding</w:t>
      </w:r>
      <w:r w:rsidR="000B212E">
        <w:t xml:space="preserve"> </w:t>
      </w:r>
      <w:r w:rsidR="001166E4">
        <w:t>cracking</w:t>
      </w:r>
      <w:r w:rsidR="000B212E">
        <w:t xml:space="preserve"> Black Richmond-based communities amongst rural, white communities</w:t>
      </w:r>
      <w:r w:rsidR="0055428B">
        <w:t xml:space="preserve"> </w:t>
      </w:r>
      <w:r w:rsidR="00DB02DA">
        <w:t>necessitated</w:t>
      </w:r>
      <w:r w:rsidR="0055428B">
        <w:t xml:space="preserve"> violating VRA </w:t>
      </w:r>
      <w:r w:rsidR="0055428B" w:rsidRPr="005F4570">
        <w:rPr>
          <w:rFonts w:ascii="Times" w:hAnsi="Times"/>
        </w:rPr>
        <w:t>§ 2</w:t>
      </w:r>
      <w:r w:rsidR="00DB02DA" w:rsidRPr="005F4570">
        <w:rPr>
          <w:rFonts w:ascii="Times" w:hAnsi="Times"/>
        </w:rPr>
        <w:t xml:space="preserve"> anti-dilution principles</w:t>
      </w:r>
      <w:r w:rsidR="0053762D">
        <w:rPr>
          <w:rFonts w:ascii="Times" w:hAnsi="Times"/>
        </w:rPr>
        <w:t>.</w:t>
      </w:r>
      <w:r w:rsidR="0053762D">
        <w:rPr>
          <w:rStyle w:val="FootnoteReference"/>
          <w:rFonts w:ascii="Times" w:hAnsi="Times"/>
        </w:rPr>
        <w:footnoteReference w:id="40"/>
      </w:r>
      <w:r w:rsidR="00DB02DA" w:rsidRPr="005F4570">
        <w:rPr>
          <w:rFonts w:ascii="Times" w:hAnsi="Times"/>
        </w:rPr>
        <w:t xml:space="preserve"> Additionally, the plan occasionally divides counties to include culturally disparate portions of such counties in more culturally coherent districts.</w:t>
      </w:r>
      <w:r w:rsidR="00DB02DA">
        <w:t xml:space="preserve"> These tradeoffs illustrate the difficulty of </w:t>
      </w:r>
      <w:r w:rsidR="003B699F">
        <w:t>uniformly adhering to communities of interest as the driving principle in redistricting.</w:t>
      </w:r>
    </w:p>
    <w:p w14:paraId="71C9EE99" w14:textId="24A52DB0" w:rsidR="00172C1E" w:rsidRPr="00190458" w:rsidRDefault="00172C1E" w:rsidP="00664FEA">
      <w:pPr>
        <w:spacing w:line="360" w:lineRule="auto"/>
        <w:rPr>
          <w:rFonts w:ascii="TimesNewRomanPSMT" w:hAnsi="TimesNewRomanPSMT"/>
          <w:b/>
          <w:bCs/>
        </w:rPr>
      </w:pPr>
      <w:r w:rsidRPr="00190458">
        <w:rPr>
          <w:rFonts w:ascii="TimesNewRomanPSMT" w:hAnsi="TimesNewRomanPSMT"/>
          <w:b/>
          <w:bCs/>
        </w:rPr>
        <w:t>Map Explanation</w:t>
      </w:r>
    </w:p>
    <w:p w14:paraId="3964DB14" w14:textId="464A4168" w:rsidR="00B9366D" w:rsidRDefault="009C444C" w:rsidP="00B9366D">
      <w:pPr>
        <w:spacing w:line="480" w:lineRule="auto"/>
        <w:jc w:val="both"/>
        <w:rPr>
          <w:rFonts w:ascii="Times" w:hAnsi="Times"/>
          <w:u w:val="single"/>
        </w:rPr>
      </w:pPr>
      <w:r>
        <w:rPr>
          <w:noProof/>
        </w:rPr>
        <w:drawing>
          <wp:anchor distT="0" distB="0" distL="114300" distR="114300" simplePos="0" relativeHeight="251682816" behindDoc="0" locked="0" layoutInCell="1" allowOverlap="1" wp14:anchorId="1CD39C00" wp14:editId="028834DB">
            <wp:simplePos x="0" y="0"/>
            <wp:positionH relativeFrom="column">
              <wp:posOffset>837777</wp:posOffset>
            </wp:positionH>
            <wp:positionV relativeFrom="paragraph">
              <wp:posOffset>325543</wp:posOffset>
            </wp:positionV>
            <wp:extent cx="4269740" cy="3157855"/>
            <wp:effectExtent l="0" t="0" r="0" b="4445"/>
            <wp:wrapTopAndBottom/>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69740" cy="3157855"/>
                    </a:xfrm>
                    <a:prstGeom prst="rect">
                      <a:avLst/>
                    </a:prstGeom>
                  </pic:spPr>
                </pic:pic>
              </a:graphicData>
            </a:graphic>
            <wp14:sizeRelH relativeFrom="page">
              <wp14:pctWidth>0</wp14:pctWidth>
            </wp14:sizeRelH>
            <wp14:sizeRelV relativeFrom="page">
              <wp14:pctHeight>0</wp14:pctHeight>
            </wp14:sizeRelV>
          </wp:anchor>
        </w:drawing>
      </w:r>
      <w:r w:rsidR="00B9366D" w:rsidRPr="00190458">
        <w:rPr>
          <w:rFonts w:ascii="Times" w:hAnsi="Times"/>
          <w:u w:val="single"/>
        </w:rPr>
        <w:t>A New Fifth District</w:t>
      </w:r>
      <w:r w:rsidR="00B9366D">
        <w:rPr>
          <w:rFonts w:ascii="Times" w:hAnsi="Times"/>
          <w:u w:val="single"/>
        </w:rPr>
        <w:t>: I-64 and college towns</w:t>
      </w:r>
    </w:p>
    <w:p w14:paraId="3099AAEA" w14:textId="21DC5A04" w:rsidR="009C444C" w:rsidRDefault="009C444C" w:rsidP="009C444C"/>
    <w:p w14:paraId="48C4EC39" w14:textId="613572F7" w:rsidR="009C444C" w:rsidRDefault="009C444C" w:rsidP="00B9366D">
      <w:pPr>
        <w:spacing w:line="480" w:lineRule="auto"/>
        <w:jc w:val="both"/>
        <w:rPr>
          <w:rFonts w:ascii="Times" w:hAnsi="Times"/>
          <w:u w:val="single"/>
        </w:rPr>
      </w:pPr>
      <w:r>
        <w:rPr>
          <w:noProof/>
        </w:rPr>
        <w:lastRenderedPageBreak/>
        <w:drawing>
          <wp:anchor distT="0" distB="0" distL="114300" distR="114300" simplePos="0" relativeHeight="251681792" behindDoc="0" locked="0" layoutInCell="1" allowOverlap="1" wp14:anchorId="49C12BF6" wp14:editId="6F4D9158">
            <wp:simplePos x="0" y="0"/>
            <wp:positionH relativeFrom="column">
              <wp:posOffset>1168400</wp:posOffset>
            </wp:positionH>
            <wp:positionV relativeFrom="paragraph">
              <wp:posOffset>2886286</wp:posOffset>
            </wp:positionV>
            <wp:extent cx="3140710" cy="3267710"/>
            <wp:effectExtent l="0" t="0" r="0" b="0"/>
            <wp:wrapTopAndBottom/>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ap&#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40710" cy="32677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14:anchorId="74585118" wp14:editId="53D6E2F0">
            <wp:simplePos x="0" y="0"/>
            <wp:positionH relativeFrom="column">
              <wp:posOffset>33444</wp:posOffset>
            </wp:positionH>
            <wp:positionV relativeFrom="paragraph">
              <wp:posOffset>423</wp:posOffset>
            </wp:positionV>
            <wp:extent cx="4953000" cy="2394585"/>
            <wp:effectExtent l="0" t="0" r="0" b="5715"/>
            <wp:wrapTopAndBottom/>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53000" cy="239458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"https://drawcongress.org/wp-content/uploads/Screen-Shot-2022-03-14-at-2.13.16-PM.png" \* MERGEFORMATINET </w:instrText>
      </w:r>
      <w:r>
        <w:fldChar w:fldCharType="separate"/>
      </w:r>
      <w:r>
        <w:fldChar w:fldCharType="end"/>
      </w:r>
    </w:p>
    <w:p w14:paraId="2C76BA83" w14:textId="415E6F1D" w:rsidR="009C444C" w:rsidRDefault="009C444C" w:rsidP="009C444C">
      <w:r>
        <w:fldChar w:fldCharType="begin"/>
      </w:r>
      <w:r>
        <w:instrText xml:space="preserve"> INCLUDEPICTURE "https://drawcongress.org/wp-content/uploads/Screen-Shot-2022-03-14-at-2.11.12-PM.png" \* MERGEFORMATINET </w:instrText>
      </w:r>
      <w:r>
        <w:fldChar w:fldCharType="separate"/>
      </w:r>
      <w:r>
        <w:fldChar w:fldCharType="end"/>
      </w:r>
    </w:p>
    <w:p w14:paraId="2B34BB10" w14:textId="77777777" w:rsidR="009C444C" w:rsidRDefault="009C444C" w:rsidP="00B9366D">
      <w:pPr>
        <w:spacing w:line="480" w:lineRule="auto"/>
        <w:jc w:val="both"/>
        <w:rPr>
          <w:rFonts w:ascii="Times" w:hAnsi="Times"/>
          <w:u w:val="single"/>
        </w:rPr>
      </w:pPr>
    </w:p>
    <w:p w14:paraId="55B26F4E" w14:textId="3C89CCAA" w:rsidR="00B9366D" w:rsidRPr="00DE1CFF" w:rsidRDefault="00B9366D" w:rsidP="00753B99">
      <w:pPr>
        <w:spacing w:line="480" w:lineRule="auto"/>
        <w:jc w:val="both"/>
        <w:rPr>
          <w:rFonts w:ascii="Times" w:hAnsi="Times"/>
        </w:rPr>
      </w:pPr>
      <w:r>
        <w:rPr>
          <w:rFonts w:ascii="Times" w:hAnsi="Times"/>
        </w:rPr>
        <w:tab/>
        <w:t>This map was born out of dissatisfaction with the 5</w:t>
      </w:r>
      <w:r w:rsidRPr="00B9366D">
        <w:rPr>
          <w:rFonts w:ascii="Times" w:hAnsi="Times"/>
          <w:vertAlign w:val="superscript"/>
        </w:rPr>
        <w:t>th</w:t>
      </w:r>
      <w:r>
        <w:rPr>
          <w:rFonts w:ascii="Times" w:hAnsi="Times"/>
        </w:rPr>
        <w:t xml:space="preserve"> Congressional District and the number of Communities of Interest it disregarded or split. Historically, the 5</w:t>
      </w:r>
      <w:r w:rsidRPr="00B9366D">
        <w:rPr>
          <w:rFonts w:ascii="Times" w:hAnsi="Times"/>
          <w:vertAlign w:val="superscript"/>
        </w:rPr>
        <w:t>th</w:t>
      </w:r>
      <w:r>
        <w:rPr>
          <w:rFonts w:ascii="Times" w:hAnsi="Times"/>
        </w:rPr>
        <w:t xml:space="preserve"> District spanned the entire north-south of Virginia, from Danville to Loudon County. Not only were counties throughout culturally disparate, but </w:t>
      </w:r>
      <w:r w:rsidR="00A0315F">
        <w:rPr>
          <w:rFonts w:ascii="Times" w:hAnsi="Times"/>
        </w:rPr>
        <w:t xml:space="preserve">the </w:t>
      </w:r>
      <w:proofErr w:type="gramStart"/>
      <w:r w:rsidR="00A0315F">
        <w:rPr>
          <w:rFonts w:ascii="Times" w:hAnsi="Times"/>
        </w:rPr>
        <w:t>District</w:t>
      </w:r>
      <w:proofErr w:type="gramEnd"/>
      <w:r w:rsidR="00A0315F">
        <w:rPr>
          <w:rFonts w:ascii="Times" w:hAnsi="Times"/>
        </w:rPr>
        <w:t xml:space="preserve"> spanned four </w:t>
      </w:r>
      <w:r w:rsidR="008E4D86">
        <w:rPr>
          <w:rFonts w:ascii="Times" w:hAnsi="Times"/>
        </w:rPr>
        <w:t xml:space="preserve">statewide </w:t>
      </w:r>
      <w:r w:rsidR="00A0315F">
        <w:rPr>
          <w:rFonts w:ascii="Times" w:hAnsi="Times"/>
        </w:rPr>
        <w:t xml:space="preserve">regions: Northern, Central, </w:t>
      </w:r>
      <w:r w:rsidR="000A370D">
        <w:rPr>
          <w:rFonts w:ascii="Times" w:hAnsi="Times"/>
        </w:rPr>
        <w:t xml:space="preserve">West </w:t>
      </w:r>
      <w:r w:rsidR="000A370D">
        <w:rPr>
          <w:rFonts w:ascii="Times" w:hAnsi="Times"/>
        </w:rPr>
        <w:lastRenderedPageBreak/>
        <w:t>Central, and Southside</w:t>
      </w:r>
      <w:r w:rsidR="008D003A">
        <w:rPr>
          <w:rFonts w:ascii="Times" w:hAnsi="Times"/>
        </w:rPr>
        <w:t>.</w:t>
      </w:r>
      <w:r w:rsidR="000A370D" w:rsidRPr="000A370D">
        <w:rPr>
          <w:rStyle w:val="FootnoteReference"/>
          <w:rFonts w:ascii="Times" w:hAnsi="Times"/>
        </w:rPr>
        <w:t xml:space="preserve"> </w:t>
      </w:r>
      <w:r w:rsidR="000A370D">
        <w:rPr>
          <w:rStyle w:val="FootnoteReference"/>
          <w:rFonts w:ascii="Times" w:hAnsi="Times"/>
        </w:rPr>
        <w:footnoteReference w:id="41"/>
      </w:r>
      <w:r w:rsidR="008D003A">
        <w:rPr>
          <w:rFonts w:ascii="Times" w:hAnsi="Times"/>
        </w:rPr>
        <w:t xml:space="preserve"> </w:t>
      </w:r>
      <w:r w:rsidR="000A370D">
        <w:rPr>
          <w:rFonts w:ascii="Times" w:hAnsi="Times"/>
        </w:rPr>
        <w:t>By contrast, t</w:t>
      </w:r>
      <w:r w:rsidR="008D003A">
        <w:rPr>
          <w:rFonts w:ascii="Times" w:hAnsi="Times"/>
        </w:rPr>
        <w:t>his map sought to</w:t>
      </w:r>
      <w:r w:rsidR="00685D03">
        <w:rPr>
          <w:rFonts w:ascii="Times" w:hAnsi="Times"/>
        </w:rPr>
        <w:t xml:space="preserve"> anchor this District in </w:t>
      </w:r>
      <w:r w:rsidR="00772716">
        <w:rPr>
          <w:rFonts w:ascii="Times" w:hAnsi="Times"/>
        </w:rPr>
        <w:t xml:space="preserve">the Piedmont Region, also known as </w:t>
      </w:r>
      <w:r w:rsidR="00685D03">
        <w:rPr>
          <w:rFonts w:ascii="Times" w:hAnsi="Times"/>
        </w:rPr>
        <w:t>Central Virginia</w:t>
      </w:r>
      <w:r w:rsidR="00772716">
        <w:rPr>
          <w:rFonts w:ascii="Times" w:hAnsi="Times"/>
        </w:rPr>
        <w:t>.</w:t>
      </w:r>
      <w:r w:rsidR="00685D03">
        <w:rPr>
          <w:rStyle w:val="FootnoteReference"/>
          <w:rFonts w:ascii="Times" w:hAnsi="Times"/>
        </w:rPr>
        <w:footnoteReference w:id="42"/>
      </w:r>
      <w:r w:rsidR="000A370D">
        <w:rPr>
          <w:rFonts w:ascii="Times" w:hAnsi="Times"/>
        </w:rPr>
        <w:t xml:space="preserve"> </w:t>
      </w:r>
      <w:r w:rsidR="009F58CE">
        <w:rPr>
          <w:rFonts w:ascii="Times" w:hAnsi="Times"/>
        </w:rPr>
        <w:t>In the south, only two counties, Buckingham and Cumberland, are included from the Southside Region in order to reach population equality. The</w:t>
      </w:r>
      <w:r w:rsidR="000A370D">
        <w:rPr>
          <w:rFonts w:ascii="Times" w:hAnsi="Times"/>
        </w:rPr>
        <w:t xml:space="preserve"> 5</w:t>
      </w:r>
      <w:r w:rsidR="000A370D">
        <w:rPr>
          <w:rFonts w:ascii="Times" w:hAnsi="Times"/>
          <w:vertAlign w:val="superscript"/>
        </w:rPr>
        <w:t xml:space="preserve">th </w:t>
      </w:r>
      <w:r w:rsidR="000A370D">
        <w:rPr>
          <w:rFonts w:ascii="Times" w:hAnsi="Times"/>
        </w:rPr>
        <w:t xml:space="preserve">District </w:t>
      </w:r>
      <w:r w:rsidR="008D003A">
        <w:rPr>
          <w:rFonts w:ascii="Times" w:hAnsi="Times"/>
        </w:rPr>
        <w:t>connect</w:t>
      </w:r>
      <w:r w:rsidR="000A370D">
        <w:rPr>
          <w:rFonts w:ascii="Times" w:hAnsi="Times"/>
        </w:rPr>
        <w:t xml:space="preserve">s the two major </w:t>
      </w:r>
      <w:r w:rsidR="00E51B17">
        <w:rPr>
          <w:rFonts w:ascii="Times" w:hAnsi="Times"/>
        </w:rPr>
        <w:t>cities</w:t>
      </w:r>
      <w:r w:rsidR="000A370D">
        <w:rPr>
          <w:rFonts w:ascii="Times" w:hAnsi="Times"/>
        </w:rPr>
        <w:t xml:space="preserve"> of </w:t>
      </w:r>
      <w:r w:rsidR="00463460">
        <w:rPr>
          <w:rFonts w:ascii="Times" w:hAnsi="Times"/>
        </w:rPr>
        <w:t>Central Virginia,</w:t>
      </w:r>
      <w:r w:rsidR="008D003A">
        <w:rPr>
          <w:rFonts w:ascii="Times" w:hAnsi="Times"/>
        </w:rPr>
        <w:t xml:space="preserve"> </w:t>
      </w:r>
      <w:proofErr w:type="gramStart"/>
      <w:r w:rsidR="00E51B17">
        <w:rPr>
          <w:rFonts w:ascii="Times" w:hAnsi="Times"/>
        </w:rPr>
        <w:t>Charlottesville</w:t>
      </w:r>
      <w:proofErr w:type="gramEnd"/>
      <w:r w:rsidR="008D003A">
        <w:rPr>
          <w:rFonts w:ascii="Times" w:hAnsi="Times"/>
        </w:rPr>
        <w:t xml:space="preserve"> </w:t>
      </w:r>
      <w:r w:rsidR="00463460">
        <w:rPr>
          <w:rFonts w:ascii="Times" w:hAnsi="Times"/>
        </w:rPr>
        <w:t>and</w:t>
      </w:r>
      <w:r w:rsidR="008D003A">
        <w:rPr>
          <w:rFonts w:ascii="Times" w:hAnsi="Times"/>
        </w:rPr>
        <w:t xml:space="preserve"> Richmond</w:t>
      </w:r>
      <w:r w:rsidR="00463460">
        <w:rPr>
          <w:rFonts w:ascii="Times" w:hAnsi="Times"/>
        </w:rPr>
        <w:t xml:space="preserve"> </w:t>
      </w:r>
      <w:r w:rsidR="00E51B17">
        <w:rPr>
          <w:rFonts w:ascii="Times" w:hAnsi="Times"/>
        </w:rPr>
        <w:t>via</w:t>
      </w:r>
      <w:r w:rsidR="00463460">
        <w:rPr>
          <w:rFonts w:ascii="Times" w:hAnsi="Times"/>
        </w:rPr>
        <w:t xml:space="preserve"> Route 64</w:t>
      </w:r>
      <w:r w:rsidR="00E51B17">
        <w:rPr>
          <w:rFonts w:ascii="Times" w:hAnsi="Times"/>
        </w:rPr>
        <w:t>, which connects them,</w:t>
      </w:r>
      <w:r w:rsidR="00463460">
        <w:rPr>
          <w:rFonts w:ascii="Times" w:hAnsi="Times"/>
        </w:rPr>
        <w:t xml:space="preserve"> as the northern bound</w:t>
      </w:r>
      <w:r w:rsidR="00F363E0">
        <w:rPr>
          <w:rFonts w:ascii="Times" w:hAnsi="Times"/>
        </w:rPr>
        <w:t xml:space="preserve">. </w:t>
      </w:r>
      <w:r w:rsidR="002F3BEB">
        <w:rPr>
          <w:rFonts w:ascii="Times" w:hAnsi="Times"/>
        </w:rPr>
        <w:t xml:space="preserve">Charlottesville and Richmond form a community of interest because they represent two major urban centers, both centered around college campuses. In Charlottesville, the University of Virginia </w:t>
      </w:r>
      <w:r w:rsidR="00705E83">
        <w:rPr>
          <w:rFonts w:ascii="Times" w:hAnsi="Times"/>
        </w:rPr>
        <w:t xml:space="preserve">is </w:t>
      </w:r>
      <w:r w:rsidR="002F3BEB">
        <w:rPr>
          <w:rFonts w:ascii="Times" w:hAnsi="Times"/>
        </w:rPr>
        <w:t>a central source of employment and education for Albemarle residents.</w:t>
      </w:r>
      <w:r w:rsidR="00705E83">
        <w:rPr>
          <w:rFonts w:ascii="Times" w:hAnsi="Times"/>
        </w:rPr>
        <w:t xml:space="preserve"> </w:t>
      </w:r>
      <w:r w:rsidR="002F3BEB">
        <w:rPr>
          <w:rFonts w:ascii="Times" w:hAnsi="Times"/>
        </w:rPr>
        <w:t xml:space="preserve">In Richmond, </w:t>
      </w:r>
      <w:r w:rsidR="009F58CE">
        <w:rPr>
          <w:rFonts w:ascii="Times" w:hAnsi="Times"/>
        </w:rPr>
        <w:t xml:space="preserve">the University of </w:t>
      </w:r>
      <w:r w:rsidR="00705E83">
        <w:rPr>
          <w:rFonts w:ascii="Times" w:hAnsi="Times"/>
        </w:rPr>
        <w:t>Richmond</w:t>
      </w:r>
      <w:r w:rsidR="009F58CE">
        <w:rPr>
          <w:rFonts w:ascii="Times" w:hAnsi="Times"/>
        </w:rPr>
        <w:t>, Virginia Commonwealth University, and Virginia Union University do the same. The counties between the two are home to residents that work primarily in either city. Route 29 acts as the western boundary line for this district and separates urban Charlottesville from its rural Albemarle County surrounds.</w:t>
      </w:r>
    </w:p>
    <w:p w14:paraId="09487466" w14:textId="142E32F4" w:rsidR="00540BD7" w:rsidRDefault="00671CD9" w:rsidP="00753B99">
      <w:pPr>
        <w:spacing w:line="480" w:lineRule="auto"/>
        <w:jc w:val="both"/>
        <w:rPr>
          <w:rFonts w:ascii="Times" w:hAnsi="Times"/>
          <w:u w:val="single"/>
        </w:rPr>
      </w:pPr>
      <w:r>
        <w:rPr>
          <w:rFonts w:ascii="Times" w:hAnsi="Times"/>
          <w:noProof/>
          <w:u w:val="single"/>
        </w:rPr>
        <w:drawing>
          <wp:anchor distT="0" distB="0" distL="114300" distR="114300" simplePos="0" relativeHeight="251685888" behindDoc="0" locked="0" layoutInCell="1" allowOverlap="1" wp14:anchorId="5785FD46" wp14:editId="20DCB306">
            <wp:simplePos x="0" y="0"/>
            <wp:positionH relativeFrom="column">
              <wp:posOffset>-472440</wp:posOffset>
            </wp:positionH>
            <wp:positionV relativeFrom="paragraph">
              <wp:posOffset>274320</wp:posOffset>
            </wp:positionV>
            <wp:extent cx="3122295" cy="3462020"/>
            <wp:effectExtent l="0" t="0" r="1905" b="5080"/>
            <wp:wrapTopAndBottom/>
            <wp:docPr id="39" name="Picture 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22295" cy="3462020"/>
                    </a:xfrm>
                    <a:prstGeom prst="rect">
                      <a:avLst/>
                    </a:prstGeom>
                  </pic:spPr>
                </pic:pic>
              </a:graphicData>
            </a:graphic>
            <wp14:sizeRelH relativeFrom="page">
              <wp14:pctWidth>0</wp14:pctWidth>
            </wp14:sizeRelH>
            <wp14:sizeRelV relativeFrom="page">
              <wp14:pctHeight>0</wp14:pctHeight>
            </wp14:sizeRelV>
          </wp:anchor>
        </w:drawing>
      </w:r>
      <w:r>
        <w:rPr>
          <w:rFonts w:ascii="Times" w:hAnsi="Times"/>
          <w:noProof/>
          <w:u w:val="single"/>
        </w:rPr>
        <w:drawing>
          <wp:anchor distT="0" distB="0" distL="114300" distR="114300" simplePos="0" relativeHeight="251687936" behindDoc="0" locked="0" layoutInCell="1" allowOverlap="1" wp14:anchorId="2F17053F" wp14:editId="7684F2EC">
            <wp:simplePos x="0" y="0"/>
            <wp:positionH relativeFrom="column">
              <wp:posOffset>2653242</wp:posOffset>
            </wp:positionH>
            <wp:positionV relativeFrom="paragraph">
              <wp:posOffset>437640</wp:posOffset>
            </wp:positionV>
            <wp:extent cx="4205156" cy="2819400"/>
            <wp:effectExtent l="0" t="0" r="0" b="0"/>
            <wp:wrapTopAndBottom/>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ap&#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05156" cy="2819400"/>
                    </a:xfrm>
                    <a:prstGeom prst="rect">
                      <a:avLst/>
                    </a:prstGeom>
                  </pic:spPr>
                </pic:pic>
              </a:graphicData>
            </a:graphic>
            <wp14:sizeRelH relativeFrom="page">
              <wp14:pctWidth>0</wp14:pctWidth>
            </wp14:sizeRelH>
            <wp14:sizeRelV relativeFrom="page">
              <wp14:pctHeight>0</wp14:pctHeight>
            </wp14:sizeRelV>
          </wp:anchor>
        </w:drawing>
      </w:r>
      <w:r w:rsidR="00190458" w:rsidRPr="00190458">
        <w:rPr>
          <w:rFonts w:ascii="Times" w:hAnsi="Times"/>
          <w:u w:val="single"/>
        </w:rPr>
        <w:t>Minimizing Northern Virginia Splits</w:t>
      </w:r>
      <w:r w:rsidR="00286B1A">
        <w:rPr>
          <w:rFonts w:ascii="Times" w:hAnsi="Times"/>
          <w:u w:val="single"/>
        </w:rPr>
        <w:t xml:space="preserve">: </w:t>
      </w:r>
      <w:r w:rsidR="009254D2">
        <w:rPr>
          <w:rFonts w:ascii="Times" w:hAnsi="Times"/>
          <w:u w:val="single"/>
        </w:rPr>
        <w:t xml:space="preserve">Districts </w:t>
      </w:r>
      <w:r w:rsidR="00540BD7">
        <w:rPr>
          <w:rFonts w:ascii="Times" w:hAnsi="Times"/>
          <w:u w:val="single"/>
        </w:rPr>
        <w:t xml:space="preserve">7, </w:t>
      </w:r>
      <w:r w:rsidR="009254D2">
        <w:rPr>
          <w:rFonts w:ascii="Times" w:hAnsi="Times"/>
          <w:u w:val="single"/>
        </w:rPr>
        <w:t>8, 10, 11</w:t>
      </w:r>
    </w:p>
    <w:p w14:paraId="2DFC4BF8" w14:textId="576CE173" w:rsidR="005E6AE4" w:rsidRDefault="005E6AE4" w:rsidP="005E6AE4">
      <w:r>
        <w:rPr>
          <w:noProof/>
        </w:rPr>
        <w:lastRenderedPageBreak/>
        <w:drawing>
          <wp:anchor distT="0" distB="0" distL="114300" distR="114300" simplePos="0" relativeHeight="251693056" behindDoc="0" locked="0" layoutInCell="1" allowOverlap="1" wp14:anchorId="005C85BB" wp14:editId="2CB9D066">
            <wp:simplePos x="0" y="0"/>
            <wp:positionH relativeFrom="column">
              <wp:posOffset>1126066</wp:posOffset>
            </wp:positionH>
            <wp:positionV relativeFrom="paragraph">
              <wp:posOffset>4022301</wp:posOffset>
            </wp:positionV>
            <wp:extent cx="3679825" cy="3234055"/>
            <wp:effectExtent l="0" t="0" r="3175" b="4445"/>
            <wp:wrapTopAndBottom/>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p&#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79825" cy="3234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2FBB43" w14:textId="0CE20F2D" w:rsidR="00671CD9" w:rsidRDefault="005E6AE4" w:rsidP="00753B99">
      <w:pPr>
        <w:spacing w:line="480" w:lineRule="auto"/>
        <w:jc w:val="both"/>
        <w:rPr>
          <w:rFonts w:ascii="Times" w:hAnsi="Times"/>
          <w:u w:val="single"/>
        </w:rPr>
      </w:pPr>
      <w:r>
        <w:fldChar w:fldCharType="begin"/>
      </w:r>
      <w:r>
        <w:instrText xml:space="preserve"> INCLUDEPICTURE "https://drawcongress.org/wp-content/uploads/Screen-Shot-2022-03-14-at-2.12.17-PM.png" \* MERGEFORMATINET </w:instrText>
      </w:r>
      <w:r>
        <w:fldChar w:fldCharType="separate"/>
      </w:r>
      <w:r>
        <w:fldChar w:fldCharType="end"/>
      </w:r>
      <w:r w:rsidR="00671CD9">
        <w:rPr>
          <w:rFonts w:ascii="Times" w:hAnsi="Times"/>
          <w:noProof/>
          <w:u w:val="single"/>
        </w:rPr>
        <w:drawing>
          <wp:anchor distT="0" distB="0" distL="114300" distR="114300" simplePos="0" relativeHeight="251684864" behindDoc="0" locked="0" layoutInCell="1" allowOverlap="1" wp14:anchorId="3F68DF3E" wp14:editId="746003AD">
            <wp:simplePos x="0" y="0"/>
            <wp:positionH relativeFrom="column">
              <wp:posOffset>2636309</wp:posOffset>
            </wp:positionH>
            <wp:positionV relativeFrom="paragraph">
              <wp:posOffset>313055</wp:posOffset>
            </wp:positionV>
            <wp:extent cx="4222115" cy="3157855"/>
            <wp:effectExtent l="0" t="0" r="0" b="4445"/>
            <wp:wrapTopAndBottom/>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ap&#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222115" cy="3157855"/>
                    </a:xfrm>
                    <a:prstGeom prst="rect">
                      <a:avLst/>
                    </a:prstGeom>
                  </pic:spPr>
                </pic:pic>
              </a:graphicData>
            </a:graphic>
            <wp14:sizeRelH relativeFrom="page">
              <wp14:pctWidth>0</wp14:pctWidth>
            </wp14:sizeRelH>
            <wp14:sizeRelV relativeFrom="page">
              <wp14:pctHeight>0</wp14:pctHeight>
            </wp14:sizeRelV>
          </wp:anchor>
        </w:drawing>
      </w:r>
      <w:r w:rsidR="00671CD9">
        <w:rPr>
          <w:rFonts w:ascii="Times" w:hAnsi="Times"/>
          <w:noProof/>
          <w:u w:val="single"/>
        </w:rPr>
        <w:drawing>
          <wp:anchor distT="0" distB="0" distL="114300" distR="114300" simplePos="0" relativeHeight="251686912" behindDoc="0" locked="0" layoutInCell="1" allowOverlap="1" wp14:anchorId="2D1BC957" wp14:editId="7925254A">
            <wp:simplePos x="0" y="0"/>
            <wp:positionH relativeFrom="column">
              <wp:posOffset>-668443</wp:posOffset>
            </wp:positionH>
            <wp:positionV relativeFrom="paragraph">
              <wp:posOffset>423</wp:posOffset>
            </wp:positionV>
            <wp:extent cx="3477251" cy="3674110"/>
            <wp:effectExtent l="0" t="0" r="3175" b="0"/>
            <wp:wrapTopAndBottom/>
            <wp:docPr id="36" name="Pictur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Map&#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77251" cy="3674110"/>
                    </a:xfrm>
                    <a:prstGeom prst="rect">
                      <a:avLst/>
                    </a:prstGeom>
                  </pic:spPr>
                </pic:pic>
              </a:graphicData>
            </a:graphic>
            <wp14:sizeRelH relativeFrom="page">
              <wp14:pctWidth>0</wp14:pctWidth>
            </wp14:sizeRelH>
            <wp14:sizeRelV relativeFrom="page">
              <wp14:pctHeight>0</wp14:pctHeight>
            </wp14:sizeRelV>
          </wp:anchor>
        </w:drawing>
      </w:r>
    </w:p>
    <w:p w14:paraId="50C361F7" w14:textId="2B7468B4" w:rsidR="00B24ACB" w:rsidRDefault="00B24ACB" w:rsidP="00540BD7">
      <w:pPr>
        <w:spacing w:line="480" w:lineRule="auto"/>
        <w:ind w:firstLine="720"/>
        <w:jc w:val="both"/>
      </w:pPr>
      <w:r>
        <w:lastRenderedPageBreak/>
        <w:t xml:space="preserve">Per the Cooper Center </w:t>
      </w:r>
      <w:r w:rsidR="009B0A13">
        <w:t>definition, this</w:t>
      </w:r>
      <w:r>
        <w:t xml:space="preserve"> map splits Northern Virginia counties among only five districts, rather than the seven of the 2016 maps.</w:t>
      </w:r>
      <w:r w:rsidRPr="00AC4C6E">
        <w:rPr>
          <w:rStyle w:val="FootnoteReference"/>
          <w:rFonts w:ascii="Times" w:hAnsi="Times"/>
        </w:rPr>
        <w:footnoteReference w:id="43"/>
      </w:r>
    </w:p>
    <w:p w14:paraId="2B4B112A" w14:textId="01074E6A" w:rsidR="00540BD7" w:rsidRDefault="00540BD7" w:rsidP="00540BD7">
      <w:pPr>
        <w:spacing w:line="480" w:lineRule="auto"/>
        <w:ind w:firstLine="720"/>
        <w:jc w:val="both"/>
      </w:pPr>
      <w:r>
        <w:t xml:space="preserve">I attempted to draw the 8th District entirely within the Capital </w:t>
      </w:r>
      <w:r w:rsidR="00671CD9">
        <w:t>Beltway,</w:t>
      </w:r>
      <w:r>
        <w:t xml:space="preserve"> but it was underpopulated by just under 200,000 people. Grouping together small communities of interest f</w:t>
      </w:r>
      <w:r w:rsidR="00F00A83">
        <w:t>rom Representable, I built the district out westward along Interstate 66, tracing both that highway and the D.C. Metro Orange Line</w:t>
      </w:r>
      <w:r w:rsidR="004C022A">
        <w:t>, both major means of transport for residents of th</w:t>
      </w:r>
      <w:r w:rsidR="00CE06ED">
        <w:t>e 8th</w:t>
      </w:r>
      <w:r w:rsidR="004C022A">
        <w:t xml:space="preserve"> </w:t>
      </w:r>
      <w:r w:rsidR="00CE06ED">
        <w:t>D</w:t>
      </w:r>
      <w:r w:rsidR="004C022A">
        <w:t xml:space="preserve">istrict into Washington, </w:t>
      </w:r>
      <w:proofErr w:type="gramStart"/>
      <w:r w:rsidR="004C022A">
        <w:t>D.C.</w:t>
      </w:r>
      <w:r>
        <w:t>.</w:t>
      </w:r>
      <w:proofErr w:type="gramEnd"/>
      <w:r w:rsidR="004C022A">
        <w:t xml:space="preserve"> </w:t>
      </w:r>
      <w:r w:rsidR="00F626E2">
        <w:t xml:space="preserve">Including the I-66 “tail” makes the </w:t>
      </w:r>
      <w:proofErr w:type="gramStart"/>
      <w:r w:rsidR="00F626E2">
        <w:t>District</w:t>
      </w:r>
      <w:proofErr w:type="gramEnd"/>
      <w:r w:rsidR="00F626E2">
        <w:t xml:space="preserve"> less compact, but I prioritized intact communities of interest, </w:t>
      </w:r>
      <w:r w:rsidR="00753B99">
        <w:t>including George Mason University and</w:t>
      </w:r>
      <w:r w:rsidR="00CE06ED">
        <w:t xml:space="preserve"> the</w:t>
      </w:r>
      <w:r w:rsidR="00753B99">
        <w:t xml:space="preserve"> Fair Lakes/Fair Oaks area</w:t>
      </w:r>
      <w:r w:rsidR="00CE06ED">
        <w:t xml:space="preserve"> over a compact district.</w:t>
      </w:r>
    </w:p>
    <w:p w14:paraId="672B0BE0" w14:textId="45A26A28" w:rsidR="00B24ACB" w:rsidRPr="00CE06ED" w:rsidRDefault="008C21AF" w:rsidP="00CE06ED">
      <w:pPr>
        <w:spacing w:line="480" w:lineRule="auto"/>
        <w:ind w:firstLine="720"/>
        <w:jc w:val="both"/>
      </w:pPr>
      <w:r>
        <w:t>The 11</w:t>
      </w:r>
      <w:r w:rsidRPr="008C21AF">
        <w:rPr>
          <w:vertAlign w:val="superscript"/>
        </w:rPr>
        <w:t>th</w:t>
      </w:r>
      <w:r>
        <w:t xml:space="preserve"> District rings the 8</w:t>
      </w:r>
      <w:r w:rsidRPr="008C21AF">
        <w:rPr>
          <w:vertAlign w:val="superscript"/>
        </w:rPr>
        <w:t>th</w:t>
      </w:r>
      <w:r>
        <w:t xml:space="preserve"> District, incorporating the remainder of Fairfax County</w:t>
      </w:r>
      <w:r w:rsidR="00CE06ED">
        <w:t xml:space="preserve"> into one district. </w:t>
      </w:r>
      <w:r w:rsidR="008E19E5">
        <w:t>The</w:t>
      </w:r>
      <w:r w:rsidR="00E2735B">
        <w:t xml:space="preserve"> newly constructed</w:t>
      </w:r>
      <w:r w:rsidR="008E19E5">
        <w:t xml:space="preserve"> </w:t>
      </w:r>
      <w:r>
        <w:t>7</w:t>
      </w:r>
      <w:r w:rsidR="008E19E5">
        <w:rPr>
          <w:vertAlign w:val="superscript"/>
        </w:rPr>
        <w:t>th</w:t>
      </w:r>
      <w:r w:rsidR="0006694E">
        <w:rPr>
          <w:vertAlign w:val="superscript"/>
        </w:rPr>
        <w:t xml:space="preserve"> </w:t>
      </w:r>
      <w:r w:rsidR="008E19E5">
        <w:rPr>
          <w:rFonts w:ascii="Times" w:hAnsi="Times"/>
        </w:rPr>
        <w:t xml:space="preserve">District is </w:t>
      </w:r>
      <w:r>
        <w:rPr>
          <w:rFonts w:ascii="Times" w:hAnsi="Times"/>
        </w:rPr>
        <w:t xml:space="preserve">anchored in the </w:t>
      </w:r>
      <w:r w:rsidR="008E19E5">
        <w:rPr>
          <w:rFonts w:ascii="Times" w:hAnsi="Times"/>
        </w:rPr>
        <w:t>Quantico Marine Corps Base</w:t>
      </w:r>
      <w:r>
        <w:rPr>
          <w:rFonts w:ascii="Times" w:hAnsi="Times"/>
        </w:rPr>
        <w:t>, including the three counties that touch</w:t>
      </w:r>
      <w:r w:rsidR="00CE06ED">
        <w:rPr>
          <w:rFonts w:ascii="Times" w:hAnsi="Times"/>
        </w:rPr>
        <w:t xml:space="preserve"> it</w:t>
      </w:r>
      <w:r w:rsidR="008E19E5">
        <w:rPr>
          <w:rFonts w:ascii="Times" w:hAnsi="Times"/>
        </w:rPr>
        <w:t xml:space="preserve">: Fauquier, </w:t>
      </w:r>
      <w:r w:rsidR="00E2735B">
        <w:rPr>
          <w:rFonts w:ascii="Times" w:hAnsi="Times"/>
        </w:rPr>
        <w:t>Stafford, and Prince William.</w:t>
      </w:r>
    </w:p>
    <w:p w14:paraId="1824FC2F" w14:textId="072BAB83" w:rsidR="00540BD7" w:rsidRPr="00823CA4" w:rsidRDefault="00EB3636" w:rsidP="00823CA4">
      <w:pPr>
        <w:spacing w:line="480" w:lineRule="auto"/>
        <w:ind w:firstLine="720"/>
        <w:jc w:val="both"/>
        <w:rPr>
          <w:rFonts w:ascii="Times" w:hAnsi="Times"/>
        </w:rPr>
      </w:pPr>
      <w:r>
        <w:rPr>
          <w:rFonts w:ascii="Times" w:hAnsi="Times"/>
        </w:rPr>
        <w:t>The 10</w:t>
      </w:r>
      <w:r w:rsidRPr="00EB3636">
        <w:rPr>
          <w:rFonts w:ascii="Times" w:hAnsi="Times"/>
          <w:vertAlign w:val="superscript"/>
        </w:rPr>
        <w:t>th</w:t>
      </w:r>
      <w:r>
        <w:rPr>
          <w:rFonts w:ascii="Times" w:hAnsi="Times"/>
        </w:rPr>
        <w:t xml:space="preserve"> District</w:t>
      </w:r>
      <w:r w:rsidR="00BF383D">
        <w:rPr>
          <w:rFonts w:ascii="Times" w:hAnsi="Times"/>
        </w:rPr>
        <w:t xml:space="preserve"> accounts for the remaining Northern Virginia counties that </w:t>
      </w:r>
      <w:r w:rsidR="0092607D">
        <w:rPr>
          <w:rFonts w:ascii="Times" w:hAnsi="Times"/>
        </w:rPr>
        <w:t>abut the Shena</w:t>
      </w:r>
      <w:r w:rsidR="00B93B76">
        <w:rPr>
          <w:rFonts w:ascii="Times" w:hAnsi="Times"/>
        </w:rPr>
        <w:t>n</w:t>
      </w:r>
      <w:r w:rsidR="0092607D">
        <w:rPr>
          <w:rFonts w:ascii="Times" w:hAnsi="Times"/>
        </w:rPr>
        <w:t>doah</w:t>
      </w:r>
      <w:r w:rsidR="00B93B76">
        <w:rPr>
          <w:rFonts w:ascii="Times" w:hAnsi="Times"/>
        </w:rPr>
        <w:t xml:space="preserve"> Mountains</w:t>
      </w:r>
      <w:r w:rsidR="0092607D">
        <w:rPr>
          <w:rFonts w:ascii="Times" w:hAnsi="Times"/>
        </w:rPr>
        <w:t>: Warren, Clarke, Loudon, and Rappahannock.</w:t>
      </w:r>
      <w:r w:rsidR="0089452A">
        <w:rPr>
          <w:rFonts w:ascii="Times" w:hAnsi="Times"/>
        </w:rPr>
        <w:t xml:space="preserve"> Harrisonburg marks the southern border of the </w:t>
      </w:r>
      <w:proofErr w:type="gramStart"/>
      <w:r w:rsidR="0089452A">
        <w:rPr>
          <w:rFonts w:ascii="Times" w:hAnsi="Times"/>
        </w:rPr>
        <w:t>District</w:t>
      </w:r>
      <w:proofErr w:type="gramEnd"/>
      <w:r w:rsidR="005E7D4C">
        <w:rPr>
          <w:rFonts w:ascii="Times" w:hAnsi="Times"/>
        </w:rPr>
        <w:t>.</w:t>
      </w:r>
    </w:p>
    <w:p w14:paraId="10403163" w14:textId="71AADCA6" w:rsidR="00190458" w:rsidRDefault="00190458" w:rsidP="00190458">
      <w:pPr>
        <w:spacing w:line="480" w:lineRule="auto"/>
        <w:jc w:val="both"/>
        <w:rPr>
          <w:rFonts w:ascii="Times" w:hAnsi="Times"/>
          <w:u w:val="single"/>
        </w:rPr>
      </w:pPr>
      <w:r w:rsidRPr="00190458">
        <w:rPr>
          <w:rFonts w:ascii="Times" w:hAnsi="Times"/>
          <w:u w:val="single"/>
        </w:rPr>
        <w:t>Appalachian Region</w:t>
      </w:r>
      <w:r w:rsidR="00B1036A">
        <w:rPr>
          <w:rFonts w:ascii="Times" w:hAnsi="Times"/>
          <w:u w:val="single"/>
        </w:rPr>
        <w:t>: District 9</w:t>
      </w:r>
    </w:p>
    <w:p w14:paraId="6E451AE7" w14:textId="03F9CB67" w:rsidR="00B1036A" w:rsidRDefault="00BD4D48" w:rsidP="00190458">
      <w:pPr>
        <w:spacing w:line="480" w:lineRule="auto"/>
        <w:jc w:val="both"/>
        <w:rPr>
          <w:rFonts w:ascii="Times" w:hAnsi="Times"/>
        </w:rPr>
      </w:pPr>
      <w:r>
        <w:rPr>
          <w:rFonts w:ascii="Times" w:hAnsi="Times"/>
          <w:noProof/>
        </w:rPr>
        <w:lastRenderedPageBreak/>
        <w:drawing>
          <wp:inline distT="0" distB="0" distL="0" distR="0" wp14:anchorId="20FCD1A3" wp14:editId="2BA79113">
            <wp:extent cx="5943600" cy="3446145"/>
            <wp:effectExtent l="0" t="0" r="0" b="0"/>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446145"/>
                    </a:xfrm>
                    <a:prstGeom prst="rect">
                      <a:avLst/>
                    </a:prstGeom>
                  </pic:spPr>
                </pic:pic>
              </a:graphicData>
            </a:graphic>
          </wp:inline>
        </w:drawing>
      </w:r>
      <w:r w:rsidR="00B1036A">
        <w:rPr>
          <w:rFonts w:ascii="Times" w:hAnsi="Times"/>
        </w:rPr>
        <w:tab/>
        <w:t>The Appalachia</w:t>
      </w:r>
      <w:r w:rsidR="006A4CDE">
        <w:rPr>
          <w:rFonts w:ascii="Times" w:hAnsi="Times"/>
        </w:rPr>
        <w:t>n Mountain</w:t>
      </w:r>
      <w:r w:rsidR="00B1036A">
        <w:rPr>
          <w:rFonts w:ascii="Times" w:hAnsi="Times"/>
        </w:rPr>
        <w:t xml:space="preserve">s constitute a significant community of interest. </w:t>
      </w:r>
      <w:r w:rsidR="006A4CDE">
        <w:rPr>
          <w:rFonts w:ascii="Times" w:hAnsi="Times"/>
        </w:rPr>
        <w:t>District 9 therefore incorporates every county deemed Appalachian by the United States government.</w:t>
      </w:r>
      <w:r w:rsidR="009C71D6">
        <w:rPr>
          <w:rStyle w:val="FootnoteReference"/>
          <w:rFonts w:ascii="Times" w:hAnsi="Times"/>
        </w:rPr>
        <w:footnoteReference w:id="44"/>
      </w:r>
      <w:r w:rsidR="006A4CDE">
        <w:rPr>
          <w:rFonts w:ascii="Times" w:hAnsi="Times"/>
        </w:rPr>
        <w:t xml:space="preserve"> As a result, the district necessarily takes on a strange shape</w:t>
      </w:r>
      <w:r w:rsidR="00202E47">
        <w:rPr>
          <w:rFonts w:ascii="Times" w:hAnsi="Times"/>
        </w:rPr>
        <w:t xml:space="preserve"> and splits Pittsylvania west of Danville </w:t>
      </w:r>
      <w:r w:rsidR="00F455DC">
        <w:rPr>
          <w:rFonts w:ascii="Times" w:hAnsi="Times"/>
        </w:rPr>
        <w:t>to reach population equality.</w:t>
      </w:r>
    </w:p>
    <w:p w14:paraId="0AAF8D05" w14:textId="6534EF3C" w:rsidR="006A4CDE" w:rsidRDefault="009C4024" w:rsidP="00190458">
      <w:pPr>
        <w:spacing w:line="480" w:lineRule="auto"/>
        <w:jc w:val="both"/>
        <w:rPr>
          <w:rFonts w:ascii="Times" w:hAnsi="Times"/>
          <w:u w:val="single"/>
        </w:rPr>
      </w:pPr>
      <w:r>
        <w:rPr>
          <w:noProof/>
        </w:rPr>
        <w:lastRenderedPageBreak/>
        <w:drawing>
          <wp:anchor distT="0" distB="0" distL="114300" distR="114300" simplePos="0" relativeHeight="251688960" behindDoc="0" locked="0" layoutInCell="1" allowOverlap="1" wp14:anchorId="7E9DC86B" wp14:editId="35CD0212">
            <wp:simplePos x="0" y="0"/>
            <wp:positionH relativeFrom="column">
              <wp:posOffset>1202055</wp:posOffset>
            </wp:positionH>
            <wp:positionV relativeFrom="paragraph">
              <wp:posOffset>313266</wp:posOffset>
            </wp:positionV>
            <wp:extent cx="3719376" cy="3935942"/>
            <wp:effectExtent l="0" t="0" r="1905" b="1270"/>
            <wp:wrapTopAndBottom/>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p&#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19376" cy="3935942"/>
                    </a:xfrm>
                    <a:prstGeom prst="rect">
                      <a:avLst/>
                    </a:prstGeom>
                  </pic:spPr>
                </pic:pic>
              </a:graphicData>
            </a:graphic>
            <wp14:sizeRelH relativeFrom="page">
              <wp14:pctWidth>0</wp14:pctWidth>
            </wp14:sizeRelH>
            <wp14:sizeRelV relativeFrom="page">
              <wp14:pctHeight>0</wp14:pctHeight>
            </wp14:sizeRelV>
          </wp:anchor>
        </w:drawing>
      </w:r>
      <w:r w:rsidR="005B32C9">
        <w:rPr>
          <w:rFonts w:ascii="Times" w:hAnsi="Times"/>
          <w:u w:val="single"/>
        </w:rPr>
        <w:t xml:space="preserve">I-81 </w:t>
      </w:r>
      <w:r w:rsidR="006A4CDE">
        <w:rPr>
          <w:rFonts w:ascii="Times" w:hAnsi="Times"/>
          <w:u w:val="single"/>
        </w:rPr>
        <w:t xml:space="preserve">Blue </w:t>
      </w:r>
      <w:r w:rsidR="00BC060F">
        <w:rPr>
          <w:rFonts w:ascii="Times" w:hAnsi="Times"/>
          <w:u w:val="single"/>
        </w:rPr>
        <w:t>Ridge</w:t>
      </w:r>
      <w:r w:rsidR="006A4CDE">
        <w:rPr>
          <w:rFonts w:ascii="Times" w:hAnsi="Times"/>
          <w:u w:val="single"/>
        </w:rPr>
        <w:t xml:space="preserve"> District: District 6</w:t>
      </w:r>
    </w:p>
    <w:p w14:paraId="5DED450A" w14:textId="2D27A6C0" w:rsidR="004A406F" w:rsidRDefault="005B32C9" w:rsidP="004A406F">
      <w:pPr>
        <w:spacing w:line="480" w:lineRule="auto"/>
        <w:ind w:firstLine="720"/>
      </w:pPr>
      <w:r>
        <w:t>The Blue Ridge Mountains</w:t>
      </w:r>
      <w:r w:rsidR="00632883">
        <w:t xml:space="preserve"> and Interstate 81 make up the spine of District 6.</w:t>
      </w:r>
      <w:r w:rsidR="004A406F">
        <w:t xml:space="preserve"> Since the Civil War, the Blue Ridge divided Virginia’s districts, so it was used as a</w:t>
      </w:r>
      <w:r w:rsidR="00E728E7">
        <w:t xml:space="preserve"> southern</w:t>
      </w:r>
      <w:r w:rsidR="004A406F">
        <w:t xml:space="preserve"> divider here as well.</w:t>
      </w:r>
      <w:r w:rsidR="004A406F">
        <w:rPr>
          <w:rStyle w:val="FootnoteReference"/>
        </w:rPr>
        <w:footnoteReference w:id="45"/>
      </w:r>
      <w:r w:rsidR="00E728E7">
        <w:t xml:space="preserve"> Major cities within this district, Roanoke, Salem, and Staunton are served by Interstate 81, while Route 29 serves </w:t>
      </w:r>
      <w:r w:rsidR="000E4784">
        <w:t xml:space="preserve">Lynchburg and western portions of Albemarle, therefore making </w:t>
      </w:r>
      <w:r w:rsidR="001A65E6">
        <w:t>both roads</w:t>
      </w:r>
      <w:r w:rsidR="000E4784">
        <w:t xml:space="preserve"> coherent boundary line</w:t>
      </w:r>
      <w:r w:rsidR="001A65E6">
        <w:t>s</w:t>
      </w:r>
      <w:r w:rsidR="000E4784">
        <w:t xml:space="preserve"> for this District. </w:t>
      </w:r>
    </w:p>
    <w:p w14:paraId="07421F04" w14:textId="1BC6428A" w:rsidR="006B4F2C" w:rsidRDefault="006B4F2C" w:rsidP="006B4F2C">
      <w:pPr>
        <w:spacing w:line="480" w:lineRule="auto"/>
        <w:jc w:val="both"/>
        <w:rPr>
          <w:rFonts w:ascii="Times" w:hAnsi="Times"/>
          <w:u w:val="single"/>
        </w:rPr>
      </w:pPr>
      <w:r w:rsidRPr="00190458">
        <w:rPr>
          <w:rFonts w:ascii="Times" w:hAnsi="Times"/>
          <w:u w:val="single"/>
        </w:rPr>
        <w:t xml:space="preserve">Black </w:t>
      </w:r>
      <w:r w:rsidR="00541DAB">
        <w:rPr>
          <w:rFonts w:ascii="Times" w:hAnsi="Times"/>
          <w:u w:val="single"/>
        </w:rPr>
        <w:t>C</w:t>
      </w:r>
      <w:r w:rsidRPr="00190458">
        <w:rPr>
          <w:rFonts w:ascii="Times" w:hAnsi="Times"/>
          <w:u w:val="single"/>
        </w:rPr>
        <w:t>ommunit</w:t>
      </w:r>
      <w:r w:rsidR="00541DAB">
        <w:rPr>
          <w:rFonts w:ascii="Times" w:hAnsi="Times"/>
          <w:u w:val="single"/>
        </w:rPr>
        <w:t>ies</w:t>
      </w:r>
      <w:r w:rsidRPr="00190458">
        <w:rPr>
          <w:rFonts w:ascii="Times" w:hAnsi="Times"/>
          <w:u w:val="single"/>
        </w:rPr>
        <w:t xml:space="preserve"> in </w:t>
      </w:r>
      <w:r w:rsidR="003E0B85">
        <w:rPr>
          <w:rFonts w:ascii="Times" w:hAnsi="Times"/>
          <w:u w:val="single"/>
        </w:rPr>
        <w:t xml:space="preserve">Southside and Tidewater: District 3 and 4 </w:t>
      </w:r>
    </w:p>
    <w:p w14:paraId="3ED99CDA" w14:textId="3571F006" w:rsidR="001B4457" w:rsidRDefault="004C7ACD" w:rsidP="00034F54">
      <w:pPr>
        <w:spacing w:line="480" w:lineRule="auto"/>
        <w:ind w:firstLine="720"/>
        <w:jc w:val="both"/>
      </w:pPr>
      <w:r>
        <w:rPr>
          <w:rFonts w:ascii="Times" w:hAnsi="Times"/>
          <w:noProof/>
        </w:rPr>
        <w:lastRenderedPageBreak/>
        <w:drawing>
          <wp:anchor distT="0" distB="0" distL="114300" distR="114300" simplePos="0" relativeHeight="251689984" behindDoc="0" locked="0" layoutInCell="1" allowOverlap="1" wp14:anchorId="7C10ECD6" wp14:editId="38A9E26E">
            <wp:simplePos x="0" y="0"/>
            <wp:positionH relativeFrom="column">
              <wp:posOffset>1074843</wp:posOffset>
            </wp:positionH>
            <wp:positionV relativeFrom="paragraph">
              <wp:posOffset>2959735</wp:posOffset>
            </wp:positionV>
            <wp:extent cx="3767455" cy="4007485"/>
            <wp:effectExtent l="0" t="0" r="4445" b="5715"/>
            <wp:wrapTopAndBottom/>
            <wp:docPr id="45" name="Picture 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Map&#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67455" cy="4007485"/>
                    </a:xfrm>
                    <a:prstGeom prst="rect">
                      <a:avLst/>
                    </a:prstGeom>
                  </pic:spPr>
                </pic:pic>
              </a:graphicData>
            </a:graphic>
            <wp14:sizeRelH relativeFrom="page">
              <wp14:pctWidth>0</wp14:pctWidth>
            </wp14:sizeRelH>
            <wp14:sizeRelV relativeFrom="page">
              <wp14:pctHeight>0</wp14:pctHeight>
            </wp14:sizeRelV>
          </wp:anchor>
        </w:drawing>
      </w:r>
      <w:r>
        <w:rPr>
          <w:rFonts w:ascii="Times" w:hAnsi="Times"/>
          <w:noProof/>
        </w:rPr>
        <w:drawing>
          <wp:inline distT="0" distB="0" distL="0" distR="0" wp14:anchorId="05746AC6" wp14:editId="2B81CFA1">
            <wp:extent cx="5394743" cy="2921000"/>
            <wp:effectExtent l="0" t="0" r="3175" b="0"/>
            <wp:docPr id="43" name="Picture 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23163" cy="2936388"/>
                    </a:xfrm>
                    <a:prstGeom prst="rect">
                      <a:avLst/>
                    </a:prstGeom>
                  </pic:spPr>
                </pic:pic>
              </a:graphicData>
            </a:graphic>
          </wp:inline>
        </w:drawing>
      </w:r>
      <w:r w:rsidR="001B4457">
        <w:rPr>
          <w:rFonts w:ascii="Times" w:hAnsi="Times"/>
        </w:rPr>
        <w:t>The 3</w:t>
      </w:r>
      <w:r w:rsidR="001B4457" w:rsidRPr="001B4457">
        <w:rPr>
          <w:rFonts w:ascii="Times" w:hAnsi="Times"/>
          <w:vertAlign w:val="superscript"/>
        </w:rPr>
        <w:t>rd</w:t>
      </w:r>
      <w:r w:rsidR="001B4457">
        <w:rPr>
          <w:rFonts w:ascii="Times" w:hAnsi="Times"/>
        </w:rPr>
        <w:t xml:space="preserve"> District</w:t>
      </w:r>
      <w:r w:rsidR="00843463">
        <w:rPr>
          <w:rFonts w:ascii="Times" w:hAnsi="Times"/>
        </w:rPr>
        <w:t xml:space="preserve"> once again traces the Hampton Roads Beltway, encompassing </w:t>
      </w:r>
      <w:r w:rsidR="002C1617">
        <w:rPr>
          <w:rFonts w:ascii="Times" w:hAnsi="Times"/>
        </w:rPr>
        <w:t>Norfolk, Portsmouth</w:t>
      </w:r>
      <w:r w:rsidR="00D25DF8">
        <w:rPr>
          <w:rFonts w:ascii="Times" w:hAnsi="Times"/>
        </w:rPr>
        <w:t>, Hampton, and a small segment of Poquoson City.</w:t>
      </w:r>
      <w:r w:rsidR="00431BEB">
        <w:rPr>
          <w:rFonts w:ascii="Times" w:hAnsi="Times"/>
        </w:rPr>
        <w:t xml:space="preserve"> Because there is much cultural contiguity between the 3</w:t>
      </w:r>
      <w:r w:rsidR="00431BEB" w:rsidRPr="00431BEB">
        <w:rPr>
          <w:rFonts w:ascii="Times" w:hAnsi="Times"/>
          <w:vertAlign w:val="superscript"/>
        </w:rPr>
        <w:t>rd</w:t>
      </w:r>
      <w:r w:rsidR="00431BEB">
        <w:rPr>
          <w:rFonts w:ascii="Times" w:hAnsi="Times"/>
        </w:rPr>
        <w:t xml:space="preserve"> and 2</w:t>
      </w:r>
      <w:r w:rsidR="00431BEB" w:rsidRPr="00431BEB">
        <w:rPr>
          <w:rFonts w:ascii="Times" w:hAnsi="Times"/>
          <w:vertAlign w:val="superscript"/>
        </w:rPr>
        <w:t>nd</w:t>
      </w:r>
      <w:r w:rsidR="00431BEB">
        <w:rPr>
          <w:rFonts w:ascii="Times" w:hAnsi="Times"/>
        </w:rPr>
        <w:t xml:space="preserve"> District but population necessitates splitting the urban centers of the Tidewater Region,</w:t>
      </w:r>
      <w:r w:rsidR="009D60F0">
        <w:rPr>
          <w:rFonts w:ascii="Times" w:hAnsi="Times"/>
        </w:rPr>
        <w:t xml:space="preserve"> I paid special attention to the Representable communities of interest as there </w:t>
      </w:r>
      <w:r w:rsidR="009D60F0">
        <w:rPr>
          <w:rFonts w:ascii="Times" w:hAnsi="Times"/>
        </w:rPr>
        <w:lastRenderedPageBreak/>
        <w:t>were many small and distinct ones within this area. I dr</w:t>
      </w:r>
      <w:r w:rsidR="00431BEB">
        <w:rPr>
          <w:rFonts w:ascii="Times" w:hAnsi="Times"/>
        </w:rPr>
        <w:t xml:space="preserve">ew lines to keep as many as possible intact and looked closely at Google Maps data to avoid splitting neighborhoods and school districts. In so doing, </w:t>
      </w:r>
      <w:r w:rsidR="00FC00E0">
        <w:t xml:space="preserve">I reached a 47.2% Black VAP, exceeding 2016 levels and those achieved by </w:t>
      </w:r>
      <w:proofErr w:type="spellStart"/>
      <w:r w:rsidR="00FC00E0">
        <w:t>Grofman</w:t>
      </w:r>
      <w:proofErr w:type="spellEnd"/>
      <w:r w:rsidR="00FC00E0">
        <w:t xml:space="preserve"> and </w:t>
      </w:r>
      <w:proofErr w:type="spellStart"/>
      <w:r w:rsidR="00FC00E0">
        <w:t>Trende</w:t>
      </w:r>
      <w:proofErr w:type="spellEnd"/>
      <w:r w:rsidR="00FC00E0">
        <w:t xml:space="preserve">. </w:t>
      </w:r>
    </w:p>
    <w:p w14:paraId="70A00B37" w14:textId="1B1D564A" w:rsidR="005E6AE4" w:rsidRDefault="005E6AE4" w:rsidP="005E6AE4">
      <w:pPr>
        <w:jc w:val="center"/>
      </w:pPr>
      <w:r w:rsidRPr="005E6AE4">
        <w:rPr>
          <w:i/>
          <w:iCs/>
          <w:noProof/>
        </w:rPr>
        <w:drawing>
          <wp:anchor distT="0" distB="0" distL="114300" distR="114300" simplePos="0" relativeHeight="251691008" behindDoc="0" locked="0" layoutInCell="1" allowOverlap="1" wp14:anchorId="058B53DD" wp14:editId="5418C3D8">
            <wp:simplePos x="0" y="0"/>
            <wp:positionH relativeFrom="column">
              <wp:posOffset>3902710</wp:posOffset>
            </wp:positionH>
            <wp:positionV relativeFrom="paragraph">
              <wp:posOffset>487468</wp:posOffset>
            </wp:positionV>
            <wp:extent cx="2514600" cy="2514600"/>
            <wp:effectExtent l="0" t="0" r="0" b="0"/>
            <wp:wrapTopAndBottom/>
            <wp:docPr id="46" name="Picture 4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Map&#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6AE4">
        <w:rPr>
          <w:i/>
          <w:iCs/>
          <w:noProof/>
        </w:rPr>
        <w:drawing>
          <wp:anchor distT="0" distB="0" distL="114300" distR="114300" simplePos="0" relativeHeight="251692032" behindDoc="0" locked="0" layoutInCell="1" allowOverlap="1" wp14:anchorId="250C9B34" wp14:editId="70D216B1">
            <wp:simplePos x="0" y="0"/>
            <wp:positionH relativeFrom="column">
              <wp:posOffset>-211455</wp:posOffset>
            </wp:positionH>
            <wp:positionV relativeFrom="paragraph">
              <wp:posOffset>600075</wp:posOffset>
            </wp:positionV>
            <wp:extent cx="3916045" cy="2044065"/>
            <wp:effectExtent l="0" t="0" r="0" b="635"/>
            <wp:wrapTopAndBottom/>
            <wp:docPr id="47" name="Picture 47" descr="A map of the wor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map of the world&#10;&#10;Description automatically generated with low confidenc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16045" cy="2044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6AE4">
        <w:rPr>
          <w:i/>
          <w:iCs/>
        </w:rPr>
        <w:t>3</w:t>
      </w:r>
      <w:r w:rsidRPr="005E6AE4">
        <w:rPr>
          <w:i/>
          <w:iCs/>
          <w:vertAlign w:val="superscript"/>
        </w:rPr>
        <w:t>rd</w:t>
      </w:r>
      <w:r w:rsidRPr="005E6AE4">
        <w:rPr>
          <w:i/>
          <w:iCs/>
        </w:rPr>
        <w:t xml:space="preserve"> and</w:t>
      </w:r>
      <w:r>
        <w:t xml:space="preserve"> </w:t>
      </w:r>
      <w:r>
        <w:fldChar w:fldCharType="begin"/>
      </w:r>
      <w:r>
        <w:instrText xml:space="preserve"> INCLUDEPICTURE "https://drawcongress.org/wp-content/uploads/Screen-Shot-2022-03-14-at-2.28.24-PM.png" \* MERGEFORMATINET </w:instrText>
      </w:r>
      <w:r>
        <w:fldChar w:fldCharType="separate"/>
      </w:r>
      <w:r>
        <w:fldChar w:fldCharType="end"/>
      </w:r>
      <w:r>
        <w:fldChar w:fldCharType="begin"/>
      </w:r>
      <w:r>
        <w:instrText xml:space="preserve"> INCLUDEPICTURE "https://drawcongress.org/wp-content/uploads/Screen-Shot-2022-03-14-at-2.28.31-PM.png" \* MERGEFORMATINET </w:instrText>
      </w:r>
      <w:r>
        <w:fldChar w:fldCharType="separate"/>
      </w:r>
      <w:r>
        <w:fldChar w:fldCharType="end"/>
      </w:r>
      <w:r>
        <w:rPr>
          <w:i/>
          <w:iCs/>
        </w:rPr>
        <w:t>4th</w:t>
      </w:r>
      <w:r>
        <w:rPr>
          <w:i/>
          <w:iCs/>
          <w:vertAlign w:val="superscript"/>
        </w:rPr>
        <w:t xml:space="preserve"> </w:t>
      </w:r>
      <w:r>
        <w:rPr>
          <w:i/>
          <w:iCs/>
        </w:rPr>
        <w:t>District</w:t>
      </w:r>
      <w:r>
        <w:rPr>
          <w:i/>
          <w:iCs/>
        </w:rPr>
        <w:t>s</w:t>
      </w:r>
      <w:r>
        <w:rPr>
          <w:i/>
          <w:iCs/>
        </w:rPr>
        <w:t xml:space="preserve"> with VTD colored by % Black VAP (yellow represents 0-25% Black, deepest red represents 75-100% Black VAP)</w:t>
      </w:r>
    </w:p>
    <w:p w14:paraId="14031AE7" w14:textId="4ED7BFE3" w:rsidR="005E6AE4" w:rsidRDefault="005E6AE4" w:rsidP="00034F54">
      <w:pPr>
        <w:spacing w:line="480" w:lineRule="auto"/>
        <w:ind w:firstLine="720"/>
        <w:jc w:val="both"/>
        <w:rPr>
          <w:rFonts w:ascii="Times" w:hAnsi="Times"/>
        </w:rPr>
      </w:pPr>
    </w:p>
    <w:p w14:paraId="3AA0C3B6" w14:textId="0555A3DE" w:rsidR="009F58CE" w:rsidRPr="00AB53B9" w:rsidRDefault="00991301" w:rsidP="00034F54">
      <w:pPr>
        <w:spacing w:line="480" w:lineRule="auto"/>
        <w:ind w:firstLine="720"/>
        <w:jc w:val="both"/>
        <w:rPr>
          <w:rFonts w:ascii="Times" w:hAnsi="Times"/>
        </w:rPr>
      </w:pPr>
      <w:r>
        <w:rPr>
          <w:rFonts w:ascii="Times" w:hAnsi="Times"/>
        </w:rPr>
        <w:t>The 4</w:t>
      </w:r>
      <w:r w:rsidRPr="00991301">
        <w:rPr>
          <w:rFonts w:ascii="Times" w:hAnsi="Times"/>
          <w:vertAlign w:val="superscript"/>
        </w:rPr>
        <w:t>th</w:t>
      </w:r>
      <w:r>
        <w:rPr>
          <w:rFonts w:ascii="Times" w:hAnsi="Times"/>
        </w:rPr>
        <w:t xml:space="preserve"> District was most problematic from a community of interest standpoint. </w:t>
      </w:r>
      <w:r w:rsidR="00AB53B9">
        <w:rPr>
          <w:rFonts w:ascii="Times" w:hAnsi="Times"/>
        </w:rPr>
        <w:t>The 4</w:t>
      </w:r>
      <w:r w:rsidR="00AB53B9" w:rsidRPr="00AB53B9">
        <w:rPr>
          <w:rFonts w:ascii="Times" w:hAnsi="Times"/>
          <w:vertAlign w:val="superscript"/>
        </w:rPr>
        <w:t>th</w:t>
      </w:r>
      <w:r w:rsidR="00AB53B9">
        <w:rPr>
          <w:rFonts w:ascii="Times" w:hAnsi="Times"/>
        </w:rPr>
        <w:t xml:space="preserve"> District </w:t>
      </w:r>
      <w:r w:rsidR="00034F54">
        <w:rPr>
          <w:rFonts w:ascii="Times" w:hAnsi="Times"/>
        </w:rPr>
        <w:t>takes on what has historically been the 5</w:t>
      </w:r>
      <w:r w:rsidR="00034F54" w:rsidRPr="00034F54">
        <w:rPr>
          <w:rFonts w:ascii="Times" w:hAnsi="Times"/>
          <w:vertAlign w:val="superscript"/>
        </w:rPr>
        <w:t>th</w:t>
      </w:r>
      <w:r w:rsidR="00034F54">
        <w:rPr>
          <w:rFonts w:ascii="Times" w:hAnsi="Times"/>
        </w:rPr>
        <w:t xml:space="preserve"> District’s counties in the Southside. </w:t>
      </w:r>
      <w:r w:rsidR="00BC1EB5">
        <w:rPr>
          <w:rFonts w:ascii="Times" w:hAnsi="Times"/>
        </w:rPr>
        <w:t>Except for</w:t>
      </w:r>
      <w:r w:rsidR="001E66A3">
        <w:rPr>
          <w:rFonts w:ascii="Times" w:hAnsi="Times"/>
        </w:rPr>
        <w:t xml:space="preserve"> Patrick and Henry Counties which are placed in th</w:t>
      </w:r>
      <w:r w:rsidR="00E80686">
        <w:rPr>
          <w:rFonts w:ascii="Times" w:hAnsi="Times"/>
        </w:rPr>
        <w:t>e</w:t>
      </w:r>
      <w:r w:rsidR="001E66A3">
        <w:rPr>
          <w:rFonts w:ascii="Times" w:hAnsi="Times"/>
        </w:rPr>
        <w:t xml:space="preserve"> 9</w:t>
      </w:r>
      <w:r w:rsidR="001E66A3" w:rsidRPr="001E66A3">
        <w:rPr>
          <w:rFonts w:ascii="Times" w:hAnsi="Times"/>
          <w:vertAlign w:val="superscript"/>
        </w:rPr>
        <w:t>th</w:t>
      </w:r>
      <w:r w:rsidR="001E66A3">
        <w:rPr>
          <w:rFonts w:ascii="Times" w:hAnsi="Times"/>
        </w:rPr>
        <w:t xml:space="preserve"> District</w:t>
      </w:r>
      <w:r w:rsidR="00E80686">
        <w:rPr>
          <w:rFonts w:ascii="Times" w:hAnsi="Times"/>
        </w:rPr>
        <w:t xml:space="preserve"> and Buckingham</w:t>
      </w:r>
      <w:r w:rsidR="00BC1EB5">
        <w:rPr>
          <w:rFonts w:ascii="Times" w:hAnsi="Times"/>
        </w:rPr>
        <w:t>,</w:t>
      </w:r>
      <w:r w:rsidR="00E80686">
        <w:rPr>
          <w:rFonts w:ascii="Times" w:hAnsi="Times"/>
        </w:rPr>
        <w:t xml:space="preserve"> and Cumberland in the 5</w:t>
      </w:r>
      <w:r w:rsidR="00E80686" w:rsidRPr="00E80686">
        <w:rPr>
          <w:rFonts w:ascii="Times" w:hAnsi="Times"/>
          <w:vertAlign w:val="superscript"/>
        </w:rPr>
        <w:t>th</w:t>
      </w:r>
      <w:r w:rsidR="001E66A3">
        <w:rPr>
          <w:rFonts w:ascii="Times" w:hAnsi="Times"/>
        </w:rPr>
        <w:t>, t</w:t>
      </w:r>
      <w:r w:rsidR="00034F54">
        <w:rPr>
          <w:rFonts w:ascii="Times" w:hAnsi="Times"/>
        </w:rPr>
        <w:t>his</w:t>
      </w:r>
      <w:r w:rsidR="001E66A3">
        <w:rPr>
          <w:rFonts w:ascii="Times" w:hAnsi="Times"/>
        </w:rPr>
        <w:t xml:space="preserve"> </w:t>
      </w:r>
      <w:r w:rsidR="00034F54">
        <w:rPr>
          <w:rFonts w:ascii="Times" w:hAnsi="Times"/>
        </w:rPr>
        <w:t>District</w:t>
      </w:r>
      <w:r w:rsidR="001E66A3">
        <w:rPr>
          <w:rFonts w:ascii="Times" w:hAnsi="Times"/>
        </w:rPr>
        <w:t xml:space="preserve"> mirrors almost</w:t>
      </w:r>
      <w:r w:rsidR="00034F54">
        <w:rPr>
          <w:rFonts w:ascii="Times" w:hAnsi="Times"/>
        </w:rPr>
        <w:t xml:space="preserve"> </w:t>
      </w:r>
      <w:r w:rsidR="001E66A3">
        <w:rPr>
          <w:rFonts w:ascii="Times" w:hAnsi="Times"/>
        </w:rPr>
        <w:t>exact</w:t>
      </w:r>
      <w:r w:rsidR="00E80686">
        <w:rPr>
          <w:rFonts w:ascii="Times" w:hAnsi="Times"/>
        </w:rPr>
        <w:t>ly the Southside Region.</w:t>
      </w:r>
      <w:r w:rsidR="00E80686">
        <w:rPr>
          <w:rStyle w:val="FootnoteReference"/>
          <w:rFonts w:ascii="Times" w:hAnsi="Times"/>
        </w:rPr>
        <w:footnoteReference w:id="46"/>
      </w:r>
      <w:r w:rsidR="001E66A3">
        <w:rPr>
          <w:rFonts w:ascii="Times" w:hAnsi="Times"/>
        </w:rPr>
        <w:t xml:space="preserve"> </w:t>
      </w:r>
      <w:r w:rsidR="00E80686">
        <w:rPr>
          <w:rFonts w:ascii="Times" w:hAnsi="Times"/>
        </w:rPr>
        <w:t>It</w:t>
      </w:r>
      <w:r w:rsidR="001E66A3">
        <w:rPr>
          <w:rFonts w:ascii="Times" w:hAnsi="Times"/>
        </w:rPr>
        <w:t xml:space="preserve"> </w:t>
      </w:r>
      <w:r w:rsidR="00034F54">
        <w:rPr>
          <w:rFonts w:ascii="Times" w:hAnsi="Times"/>
        </w:rPr>
        <w:t>starts in Danville</w:t>
      </w:r>
      <w:r w:rsidR="00E80686">
        <w:rPr>
          <w:rFonts w:ascii="Times" w:hAnsi="Times"/>
        </w:rPr>
        <w:t xml:space="preserve"> in the </w:t>
      </w:r>
      <w:r w:rsidR="00435C9C">
        <w:rPr>
          <w:rFonts w:ascii="Times" w:hAnsi="Times"/>
        </w:rPr>
        <w:t>west</w:t>
      </w:r>
      <w:r w:rsidR="00034F54">
        <w:rPr>
          <w:rFonts w:ascii="Times" w:hAnsi="Times"/>
        </w:rPr>
        <w:t xml:space="preserve"> and stretches to </w:t>
      </w:r>
      <w:r w:rsidR="00435C9C">
        <w:rPr>
          <w:rFonts w:ascii="Times" w:hAnsi="Times"/>
        </w:rPr>
        <w:t xml:space="preserve">Southampton County in the east. </w:t>
      </w:r>
      <w:r w:rsidR="00BC1EB5">
        <w:rPr>
          <w:rFonts w:ascii="Times" w:hAnsi="Times"/>
        </w:rPr>
        <w:t>To</w:t>
      </w:r>
      <w:r w:rsidR="00435C9C">
        <w:rPr>
          <w:rFonts w:ascii="Times" w:hAnsi="Times"/>
        </w:rPr>
        <w:t xml:space="preserve"> reach population equality, this District had to include the counties which contain</w:t>
      </w:r>
      <w:r w:rsidR="00FD3565">
        <w:rPr>
          <w:rFonts w:ascii="Times" w:hAnsi="Times"/>
        </w:rPr>
        <w:t xml:space="preserve"> the largely white</w:t>
      </w:r>
      <w:r w:rsidR="00435C9C">
        <w:rPr>
          <w:rFonts w:ascii="Times" w:hAnsi="Times"/>
        </w:rPr>
        <w:t xml:space="preserve"> suburbs south of Richmond: Amelia, Chesterfield, and Dinwiddie</w:t>
      </w:r>
      <w:r w:rsidR="00FD3565">
        <w:rPr>
          <w:rFonts w:ascii="Times" w:hAnsi="Times"/>
        </w:rPr>
        <w:t>.</w:t>
      </w:r>
      <w:r w:rsidR="00435C9C">
        <w:rPr>
          <w:rFonts w:ascii="Times" w:hAnsi="Times"/>
        </w:rPr>
        <w:t xml:space="preserve"> While this combination is not ideal, there are </w:t>
      </w:r>
      <w:r w:rsidR="00FD3565">
        <w:rPr>
          <w:rFonts w:ascii="Times" w:hAnsi="Times"/>
        </w:rPr>
        <w:t>enough</w:t>
      </w:r>
      <w:r w:rsidR="00435C9C">
        <w:rPr>
          <w:rFonts w:ascii="Times" w:hAnsi="Times"/>
        </w:rPr>
        <w:t xml:space="preserve"> Southside Counties and Central Counties that enable consistently intact communities of interest. In other </w:t>
      </w:r>
      <w:r w:rsidR="00435C9C">
        <w:rPr>
          <w:rFonts w:ascii="Times" w:hAnsi="Times"/>
        </w:rPr>
        <w:lastRenderedPageBreak/>
        <w:t>words, this district spans more cultural geography than I was comfortable with, but places two distinct and intact communities of interest within one district together.</w:t>
      </w:r>
      <w:r w:rsidR="00FD3565">
        <w:rPr>
          <w:rFonts w:ascii="Times" w:hAnsi="Times"/>
        </w:rPr>
        <w:t xml:space="preserve"> Furthermore, respecting Richmond’s Black community (largely left intact in the now 5</w:t>
      </w:r>
      <w:r w:rsidR="00FD3565" w:rsidRPr="00FD3565">
        <w:rPr>
          <w:rFonts w:ascii="Times" w:hAnsi="Times"/>
          <w:vertAlign w:val="superscript"/>
        </w:rPr>
        <w:t>th</w:t>
      </w:r>
      <w:r w:rsidR="00FD3565">
        <w:rPr>
          <w:rFonts w:ascii="Times" w:hAnsi="Times"/>
        </w:rPr>
        <w:t xml:space="preserve"> District) </w:t>
      </w:r>
      <w:r w:rsidR="00541DAB">
        <w:rPr>
          <w:rFonts w:ascii="Times" w:hAnsi="Times"/>
        </w:rPr>
        <w:t>necessitated splitting</w:t>
      </w:r>
      <w:r w:rsidR="00FD3565">
        <w:rPr>
          <w:rFonts w:ascii="Times" w:hAnsi="Times"/>
        </w:rPr>
        <w:t xml:space="preserve"> the broader Richmond metropolitan area</w:t>
      </w:r>
      <w:r w:rsidR="00F2752C">
        <w:rPr>
          <w:rFonts w:ascii="Times" w:hAnsi="Times"/>
        </w:rPr>
        <w:t xml:space="preserve"> and including the white suburbs, especially Chesterfield in the 4</w:t>
      </w:r>
      <w:r w:rsidR="00F2752C" w:rsidRPr="00F2752C">
        <w:rPr>
          <w:rFonts w:ascii="Times" w:hAnsi="Times"/>
          <w:vertAlign w:val="superscript"/>
        </w:rPr>
        <w:t>th</w:t>
      </w:r>
      <w:r w:rsidR="00F2752C">
        <w:rPr>
          <w:rFonts w:ascii="Times" w:hAnsi="Times"/>
        </w:rPr>
        <w:t xml:space="preserve"> District. </w:t>
      </w:r>
      <w:r>
        <w:rPr>
          <w:rFonts w:ascii="Times" w:hAnsi="Times"/>
        </w:rPr>
        <w:t xml:space="preserve">However, finding population equality </w:t>
      </w:r>
      <w:r w:rsidR="00F2752C">
        <w:rPr>
          <w:rFonts w:ascii="Times" w:hAnsi="Times"/>
        </w:rPr>
        <w:t xml:space="preserve">through </w:t>
      </w:r>
      <w:r>
        <w:rPr>
          <w:rFonts w:ascii="Times" w:hAnsi="Times"/>
        </w:rPr>
        <w:t xml:space="preserve">this strategy </w:t>
      </w:r>
      <w:r w:rsidR="00C13CB2">
        <w:rPr>
          <w:rFonts w:ascii="Times" w:hAnsi="Times"/>
        </w:rPr>
        <w:t>necessitated</w:t>
      </w:r>
      <w:r w:rsidR="00F2752C">
        <w:rPr>
          <w:rFonts w:ascii="Times" w:hAnsi="Times"/>
        </w:rPr>
        <w:t xml:space="preserve"> VRA noncompliance. </w:t>
      </w:r>
      <w:r w:rsidR="00541DAB">
        <w:t>With a</w:t>
      </w:r>
      <w:r w:rsidR="00541DAB">
        <w:t xml:space="preserve"> 33.6% Black VAP, the 4</w:t>
      </w:r>
      <w:r w:rsidR="00541DAB" w:rsidRPr="00000566">
        <w:rPr>
          <w:vertAlign w:val="superscript"/>
        </w:rPr>
        <w:t>th</w:t>
      </w:r>
      <w:r w:rsidR="00541DAB">
        <w:t xml:space="preserve"> District falls well below both benchmarks and would be</w:t>
      </w:r>
      <w:r w:rsidR="00541DAB">
        <w:t xml:space="preserve"> vulnerable to vote dilution claims.</w:t>
      </w:r>
    </w:p>
    <w:p w14:paraId="0EACA18A" w14:textId="64D9062F" w:rsidR="006B4F2C" w:rsidRDefault="006B4F2C" w:rsidP="006B4F2C">
      <w:pPr>
        <w:spacing w:line="480" w:lineRule="auto"/>
        <w:jc w:val="both"/>
        <w:rPr>
          <w:rFonts w:ascii="Times" w:hAnsi="Times"/>
          <w:u w:val="single"/>
        </w:rPr>
      </w:pPr>
      <w:r>
        <w:rPr>
          <w:rFonts w:ascii="Times" w:hAnsi="Times"/>
          <w:u w:val="single"/>
        </w:rPr>
        <w:t>1</w:t>
      </w:r>
      <w:r w:rsidRPr="006B4F2C">
        <w:rPr>
          <w:rFonts w:ascii="Times" w:hAnsi="Times"/>
          <w:u w:val="single"/>
          <w:vertAlign w:val="superscript"/>
        </w:rPr>
        <w:t>st</w:t>
      </w:r>
      <w:r>
        <w:rPr>
          <w:rFonts w:ascii="Times" w:hAnsi="Times"/>
          <w:u w:val="single"/>
        </w:rPr>
        <w:t xml:space="preserve"> and 2</w:t>
      </w:r>
      <w:r w:rsidRPr="006B4F2C">
        <w:rPr>
          <w:rFonts w:ascii="Times" w:hAnsi="Times"/>
          <w:u w:val="single"/>
          <w:vertAlign w:val="superscript"/>
        </w:rPr>
        <w:t>nd</w:t>
      </w:r>
      <w:r>
        <w:rPr>
          <w:rFonts w:ascii="Times" w:hAnsi="Times"/>
          <w:u w:val="single"/>
        </w:rPr>
        <w:t xml:space="preserve"> Districts: </w:t>
      </w:r>
      <w:r w:rsidR="00991301">
        <w:rPr>
          <w:rFonts w:ascii="Times" w:hAnsi="Times"/>
          <w:u w:val="single"/>
        </w:rPr>
        <w:t>Easter</w:t>
      </w:r>
      <w:r w:rsidR="00541DAB">
        <w:rPr>
          <w:rFonts w:ascii="Times" w:hAnsi="Times"/>
          <w:u w:val="single"/>
        </w:rPr>
        <w:t>n</w:t>
      </w:r>
      <w:r w:rsidR="003E0B85">
        <w:rPr>
          <w:rFonts w:ascii="Times" w:hAnsi="Times"/>
          <w:u w:val="single"/>
        </w:rPr>
        <w:t xml:space="preserve"> Virginia</w:t>
      </w:r>
      <w:r w:rsidR="00541DAB">
        <w:rPr>
          <w:rFonts w:ascii="Times" w:hAnsi="Times"/>
          <w:u w:val="single"/>
        </w:rPr>
        <w:t xml:space="preserve"> and Tidewater</w:t>
      </w:r>
    </w:p>
    <w:p w14:paraId="09AAEA5C" w14:textId="3DF4A9B9" w:rsidR="006D73A6" w:rsidRDefault="003E0B85" w:rsidP="006B4F2C">
      <w:pPr>
        <w:spacing w:line="480" w:lineRule="auto"/>
        <w:jc w:val="both"/>
        <w:rPr>
          <w:rFonts w:ascii="Times" w:hAnsi="Times"/>
          <w:u w:val="single"/>
        </w:rPr>
      </w:pPr>
      <w:r>
        <w:rPr>
          <w:rFonts w:ascii="Times" w:hAnsi="Times"/>
          <w:noProof/>
          <w:u w:val="single"/>
        </w:rPr>
        <w:drawing>
          <wp:anchor distT="0" distB="0" distL="114300" distR="114300" simplePos="0" relativeHeight="251695104" behindDoc="0" locked="0" layoutInCell="1" allowOverlap="1" wp14:anchorId="41151A56" wp14:editId="039BF9AF">
            <wp:simplePos x="0" y="0"/>
            <wp:positionH relativeFrom="column">
              <wp:posOffset>3302847</wp:posOffset>
            </wp:positionH>
            <wp:positionV relativeFrom="paragraph">
              <wp:posOffset>203624</wp:posOffset>
            </wp:positionV>
            <wp:extent cx="3505835" cy="3276600"/>
            <wp:effectExtent l="0" t="0" r="0" b="0"/>
            <wp:wrapTopAndBottom/>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05835" cy="3276600"/>
                    </a:xfrm>
                    <a:prstGeom prst="rect">
                      <a:avLst/>
                    </a:prstGeom>
                  </pic:spPr>
                </pic:pic>
              </a:graphicData>
            </a:graphic>
            <wp14:sizeRelH relativeFrom="page">
              <wp14:pctWidth>0</wp14:pctWidth>
            </wp14:sizeRelH>
            <wp14:sizeRelV relativeFrom="page">
              <wp14:pctHeight>0</wp14:pctHeight>
            </wp14:sizeRelV>
          </wp:anchor>
        </w:drawing>
      </w:r>
      <w:r>
        <w:rPr>
          <w:rFonts w:ascii="Times" w:hAnsi="Times"/>
          <w:noProof/>
          <w:u w:val="single"/>
        </w:rPr>
        <w:drawing>
          <wp:anchor distT="0" distB="0" distL="114300" distR="114300" simplePos="0" relativeHeight="251694080" behindDoc="0" locked="0" layoutInCell="1" allowOverlap="1" wp14:anchorId="452ACE63" wp14:editId="338E1832">
            <wp:simplePos x="0" y="0"/>
            <wp:positionH relativeFrom="column">
              <wp:posOffset>-169545</wp:posOffset>
            </wp:positionH>
            <wp:positionV relativeFrom="paragraph">
              <wp:posOffset>483235</wp:posOffset>
            </wp:positionV>
            <wp:extent cx="3472815" cy="2794000"/>
            <wp:effectExtent l="0" t="0" r="0" b="0"/>
            <wp:wrapTopAndBottom/>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Map&#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72815" cy="2794000"/>
                    </a:xfrm>
                    <a:prstGeom prst="rect">
                      <a:avLst/>
                    </a:prstGeom>
                  </pic:spPr>
                </pic:pic>
              </a:graphicData>
            </a:graphic>
            <wp14:sizeRelH relativeFrom="page">
              <wp14:pctWidth>0</wp14:pctWidth>
            </wp14:sizeRelH>
            <wp14:sizeRelV relativeFrom="page">
              <wp14:pctHeight>0</wp14:pctHeight>
            </wp14:sizeRelV>
          </wp:anchor>
        </w:drawing>
      </w:r>
    </w:p>
    <w:p w14:paraId="7FD6BCDC" w14:textId="75A4CFB2" w:rsidR="004C2606" w:rsidRDefault="00874F0F" w:rsidP="006B4F2C">
      <w:pPr>
        <w:spacing w:line="480" w:lineRule="auto"/>
        <w:jc w:val="both"/>
        <w:rPr>
          <w:rFonts w:ascii="Times" w:hAnsi="Times"/>
        </w:rPr>
      </w:pPr>
      <w:r>
        <w:rPr>
          <w:rFonts w:ascii="Times" w:hAnsi="Times"/>
        </w:rPr>
        <w:tab/>
      </w:r>
      <w:r w:rsidR="004C2606">
        <w:rPr>
          <w:rFonts w:ascii="Times" w:hAnsi="Times"/>
        </w:rPr>
        <w:t>The 2</w:t>
      </w:r>
      <w:r w:rsidR="004C2606" w:rsidRPr="004C2606">
        <w:rPr>
          <w:rFonts w:ascii="Times" w:hAnsi="Times"/>
          <w:vertAlign w:val="superscript"/>
        </w:rPr>
        <w:t>nd</w:t>
      </w:r>
      <w:r w:rsidR="004C2606">
        <w:rPr>
          <w:rFonts w:ascii="Times" w:hAnsi="Times"/>
        </w:rPr>
        <w:t xml:space="preserve"> District incorporates any Hampton Roads Region counties not included in the 3</w:t>
      </w:r>
      <w:r w:rsidR="004C2606" w:rsidRPr="004C2606">
        <w:rPr>
          <w:rFonts w:ascii="Times" w:hAnsi="Times"/>
          <w:vertAlign w:val="superscript"/>
        </w:rPr>
        <w:t>rd</w:t>
      </w:r>
      <w:r w:rsidR="004C2606">
        <w:rPr>
          <w:rFonts w:ascii="Times" w:hAnsi="Times"/>
        </w:rPr>
        <w:t xml:space="preserve"> District and combines them with Delmarva</w:t>
      </w:r>
      <w:r w:rsidR="006906B0">
        <w:rPr>
          <w:rFonts w:ascii="Times" w:hAnsi="Times"/>
        </w:rPr>
        <w:t xml:space="preserve"> Peninsula Districts.</w:t>
      </w:r>
      <w:r w:rsidR="00A23C71">
        <w:rPr>
          <w:rFonts w:ascii="Times" w:hAnsi="Times"/>
        </w:rPr>
        <w:t xml:space="preserve"> By constraining the 3</w:t>
      </w:r>
      <w:r w:rsidR="00A23C71" w:rsidRPr="00A23C71">
        <w:rPr>
          <w:rFonts w:ascii="Times" w:hAnsi="Times"/>
          <w:vertAlign w:val="superscript"/>
        </w:rPr>
        <w:t>rd</w:t>
      </w:r>
      <w:r w:rsidR="00A23C71">
        <w:rPr>
          <w:rFonts w:ascii="Times" w:hAnsi="Times"/>
        </w:rPr>
        <w:t xml:space="preserve"> District’s southern border to those of Portsmouth</w:t>
      </w:r>
      <w:r w:rsidR="00127F5F">
        <w:rPr>
          <w:rFonts w:ascii="Times" w:hAnsi="Times"/>
        </w:rPr>
        <w:t xml:space="preserve"> and Norfolk, and taking minimal portions of </w:t>
      </w:r>
      <w:r w:rsidR="001E614B">
        <w:rPr>
          <w:rFonts w:ascii="Times" w:hAnsi="Times"/>
        </w:rPr>
        <w:t>Chesapeake City, the 2</w:t>
      </w:r>
      <w:r w:rsidR="001E614B" w:rsidRPr="001E614B">
        <w:rPr>
          <w:rFonts w:ascii="Times" w:hAnsi="Times"/>
          <w:vertAlign w:val="superscript"/>
        </w:rPr>
        <w:t>nd</w:t>
      </w:r>
      <w:r w:rsidR="001E614B">
        <w:rPr>
          <w:rFonts w:ascii="Times" w:hAnsi="Times"/>
        </w:rPr>
        <w:t xml:space="preserve"> District can consist of </w:t>
      </w:r>
      <w:r w:rsidR="00283387">
        <w:rPr>
          <w:rFonts w:ascii="Times" w:hAnsi="Times"/>
        </w:rPr>
        <w:t>t</w:t>
      </w:r>
      <w:r w:rsidR="001E614B">
        <w:rPr>
          <w:rFonts w:ascii="Times" w:hAnsi="Times"/>
        </w:rPr>
        <w:t>hose cities</w:t>
      </w:r>
      <w:r w:rsidR="00283387">
        <w:rPr>
          <w:rFonts w:ascii="Times" w:hAnsi="Times"/>
        </w:rPr>
        <w:t>’ suburbs</w:t>
      </w:r>
      <w:r w:rsidR="001E614B">
        <w:rPr>
          <w:rFonts w:ascii="Times" w:hAnsi="Times"/>
        </w:rPr>
        <w:t xml:space="preserve"> </w:t>
      </w:r>
      <w:r w:rsidR="00283387">
        <w:rPr>
          <w:rFonts w:ascii="Times" w:hAnsi="Times"/>
        </w:rPr>
        <w:t>plus the city of</w:t>
      </w:r>
      <w:r w:rsidR="001E614B">
        <w:rPr>
          <w:rFonts w:ascii="Times" w:hAnsi="Times"/>
        </w:rPr>
        <w:t xml:space="preserve"> Virginia Beach. </w:t>
      </w:r>
    </w:p>
    <w:p w14:paraId="6AF8F8FC" w14:textId="56AF12FC" w:rsidR="000D0AD5" w:rsidRPr="006D19D0" w:rsidRDefault="00874F0F" w:rsidP="006D19D0">
      <w:pPr>
        <w:spacing w:line="480" w:lineRule="auto"/>
        <w:ind w:firstLine="720"/>
        <w:jc w:val="both"/>
        <w:rPr>
          <w:rFonts w:ascii="Times" w:hAnsi="Times"/>
        </w:rPr>
      </w:pPr>
      <w:r>
        <w:rPr>
          <w:rFonts w:ascii="Times" w:hAnsi="Times"/>
        </w:rPr>
        <w:lastRenderedPageBreak/>
        <w:t>The 1</w:t>
      </w:r>
      <w:r w:rsidRPr="00874F0F">
        <w:rPr>
          <w:rFonts w:ascii="Times" w:hAnsi="Times"/>
          <w:vertAlign w:val="superscript"/>
        </w:rPr>
        <w:t>st</w:t>
      </w:r>
      <w:r>
        <w:rPr>
          <w:rFonts w:ascii="Times" w:hAnsi="Times"/>
        </w:rPr>
        <w:t xml:space="preserve"> District is </w:t>
      </w:r>
      <w:r w:rsidR="00F946F5">
        <w:rPr>
          <w:rFonts w:ascii="Times" w:hAnsi="Times"/>
        </w:rPr>
        <w:t>also</w:t>
      </w:r>
      <w:r>
        <w:rPr>
          <w:rFonts w:ascii="Times" w:hAnsi="Times"/>
        </w:rPr>
        <w:t xml:space="preserve"> problematic </w:t>
      </w:r>
      <w:r w:rsidR="00F946F5">
        <w:rPr>
          <w:rFonts w:ascii="Times" w:hAnsi="Times"/>
        </w:rPr>
        <w:t>under</w:t>
      </w:r>
      <w:r>
        <w:rPr>
          <w:rFonts w:ascii="Times" w:hAnsi="Times"/>
        </w:rPr>
        <w:t xml:space="preserve"> </w:t>
      </w:r>
      <w:r w:rsidR="00F946F5">
        <w:rPr>
          <w:rFonts w:ascii="Times" w:hAnsi="Times"/>
        </w:rPr>
        <w:t>c</w:t>
      </w:r>
      <w:r>
        <w:rPr>
          <w:rFonts w:ascii="Times" w:hAnsi="Times"/>
        </w:rPr>
        <w:t xml:space="preserve">ommunities of </w:t>
      </w:r>
      <w:r w:rsidR="00F946F5">
        <w:rPr>
          <w:rFonts w:ascii="Times" w:hAnsi="Times"/>
        </w:rPr>
        <w:t>i</w:t>
      </w:r>
      <w:r>
        <w:rPr>
          <w:rFonts w:ascii="Times" w:hAnsi="Times"/>
        </w:rPr>
        <w:t xml:space="preserve">nterest </w:t>
      </w:r>
      <w:r w:rsidR="00F946F5">
        <w:rPr>
          <w:rFonts w:ascii="Times" w:hAnsi="Times"/>
        </w:rPr>
        <w:t>principles</w:t>
      </w:r>
      <w:r>
        <w:rPr>
          <w:rFonts w:ascii="Times" w:hAnsi="Times"/>
        </w:rPr>
        <w:t>.</w:t>
      </w:r>
      <w:r w:rsidR="00A722AB">
        <w:rPr>
          <w:rFonts w:ascii="Times" w:hAnsi="Times"/>
        </w:rPr>
        <w:t xml:space="preserve"> I dislike that it spans </w:t>
      </w:r>
      <w:r w:rsidR="00D47927">
        <w:rPr>
          <w:rFonts w:ascii="Times" w:hAnsi="Times"/>
        </w:rPr>
        <w:t xml:space="preserve">the Tidewater and Central Virginia regions, </w:t>
      </w:r>
      <w:r w:rsidR="00993F1C">
        <w:rPr>
          <w:rFonts w:ascii="Times" w:hAnsi="Times"/>
        </w:rPr>
        <w:t>but there were generally fewer communities of interest submitted to the Virginia redistricting commission and Representable for consideration. Additionally,</w:t>
      </w:r>
      <w:r w:rsidR="00A77439">
        <w:rPr>
          <w:rFonts w:ascii="Times" w:hAnsi="Times"/>
        </w:rPr>
        <w:t xml:space="preserve"> I adopted the same approach I did in District </w:t>
      </w:r>
      <w:r w:rsidR="00AD71FD">
        <w:rPr>
          <w:rFonts w:ascii="Times" w:hAnsi="Times"/>
        </w:rPr>
        <w:t xml:space="preserve">4, combining </w:t>
      </w:r>
      <w:r w:rsidR="00A77439">
        <w:rPr>
          <w:rFonts w:ascii="Times" w:hAnsi="Times"/>
        </w:rPr>
        <w:t>two culturally disparate</w:t>
      </w:r>
      <w:r w:rsidR="008B622F">
        <w:rPr>
          <w:rFonts w:ascii="Times" w:hAnsi="Times"/>
        </w:rPr>
        <w:t>,</w:t>
      </w:r>
      <w:r w:rsidR="00A77439">
        <w:rPr>
          <w:rFonts w:ascii="Times" w:hAnsi="Times"/>
        </w:rPr>
        <w:t xml:space="preserve"> yet </w:t>
      </w:r>
      <w:r w:rsidR="008B622F">
        <w:rPr>
          <w:rFonts w:ascii="Times" w:hAnsi="Times"/>
        </w:rPr>
        <w:t>politically strong,</w:t>
      </w:r>
      <w:r w:rsidR="00A77439">
        <w:rPr>
          <w:rFonts w:ascii="Times" w:hAnsi="Times"/>
        </w:rPr>
        <w:t xml:space="preserve"> </w:t>
      </w:r>
      <w:r w:rsidR="00AD71FD">
        <w:rPr>
          <w:rFonts w:ascii="Times" w:hAnsi="Times"/>
        </w:rPr>
        <w:t xml:space="preserve">areas into one District. </w:t>
      </w:r>
      <w:r w:rsidR="004C257C">
        <w:rPr>
          <w:rFonts w:ascii="Times" w:hAnsi="Times"/>
        </w:rPr>
        <w:t xml:space="preserve">Central Virginia counties are included </w:t>
      </w:r>
      <w:r w:rsidR="005F3BE2">
        <w:rPr>
          <w:rFonts w:ascii="Times" w:hAnsi="Times"/>
        </w:rPr>
        <w:t>in groups</w:t>
      </w:r>
      <w:r w:rsidR="004C257C">
        <w:rPr>
          <w:rFonts w:ascii="Times" w:hAnsi="Times"/>
        </w:rPr>
        <w:t>, as are Tidewater ones,</w:t>
      </w:r>
      <w:r w:rsidR="00805AC0">
        <w:rPr>
          <w:rFonts w:ascii="Times" w:hAnsi="Times"/>
        </w:rPr>
        <w:t xml:space="preserve"> so there is no issue of “packing” a single county amongst many </w:t>
      </w:r>
      <w:r w:rsidR="00805AC0">
        <w:rPr>
          <w:rFonts w:ascii="Times" w:hAnsi="Times"/>
        </w:rPr>
        <w:t>culturally disparate</w:t>
      </w:r>
      <w:r w:rsidR="00805AC0">
        <w:rPr>
          <w:rFonts w:ascii="Times" w:hAnsi="Times"/>
        </w:rPr>
        <w:t xml:space="preserve"> ones. Additionally, the 1</w:t>
      </w:r>
      <w:r w:rsidR="00805AC0" w:rsidRPr="00805AC0">
        <w:rPr>
          <w:rFonts w:ascii="Times" w:hAnsi="Times"/>
          <w:vertAlign w:val="superscript"/>
        </w:rPr>
        <w:t>st</w:t>
      </w:r>
      <w:r w:rsidR="00805AC0">
        <w:rPr>
          <w:rFonts w:ascii="Times" w:hAnsi="Times"/>
        </w:rPr>
        <w:t xml:space="preserve"> District in this plan looks much like that of the 2016 plan</w:t>
      </w:r>
      <w:r w:rsidR="00103820">
        <w:rPr>
          <w:rFonts w:ascii="Times" w:hAnsi="Times"/>
        </w:rPr>
        <w:t xml:space="preserve">, </w:t>
      </w:r>
      <w:r w:rsidR="00DC46AA">
        <w:rPr>
          <w:rFonts w:ascii="Times" w:hAnsi="Times"/>
        </w:rPr>
        <w:t>and the new additions to the district</w:t>
      </w:r>
      <w:r w:rsidR="00A43977">
        <w:rPr>
          <w:rFonts w:ascii="Times" w:hAnsi="Times"/>
        </w:rPr>
        <w:t xml:space="preserve"> would be unlikely to upset the representativeness of this district.</w:t>
      </w:r>
    </w:p>
    <w:p w14:paraId="7F8FEF27" w14:textId="76B72450" w:rsidR="001B150F" w:rsidRDefault="001B150F" w:rsidP="00101A0F">
      <w:pPr>
        <w:spacing w:line="480" w:lineRule="auto"/>
        <w:jc w:val="both"/>
        <w:rPr>
          <w:rFonts w:ascii="TimesNewRomanPSMT" w:hAnsi="TimesNewRomanPSMT"/>
          <w:b/>
          <w:bCs/>
        </w:rPr>
      </w:pPr>
      <w:r w:rsidRPr="006B4F2C">
        <w:rPr>
          <w:rFonts w:ascii="TimesNewRomanPSMT" w:hAnsi="TimesNewRomanPSMT"/>
          <w:b/>
          <w:bCs/>
        </w:rPr>
        <w:t>Compactness and Political Subdivision Splits</w:t>
      </w:r>
    </w:p>
    <w:p w14:paraId="14B0F823" w14:textId="69F0F08B" w:rsidR="004266EC" w:rsidRPr="001F54F9" w:rsidRDefault="00420875" w:rsidP="001F54F9">
      <w:pPr>
        <w:spacing w:line="480" w:lineRule="auto"/>
        <w:ind w:firstLine="720"/>
        <w:jc w:val="both"/>
        <w:rPr>
          <w:rFonts w:ascii="TimesNewRomanPSMT" w:hAnsi="TimesNewRomanPSMT"/>
        </w:rPr>
      </w:pPr>
      <w:r>
        <w:rPr>
          <w:rFonts w:ascii="TimesNewRomanPSMT" w:hAnsi="TimesNewRomanPSMT"/>
        </w:rPr>
        <w:t>This plan o</w:t>
      </w:r>
      <w:r w:rsidR="004266EC">
        <w:rPr>
          <w:rFonts w:ascii="TimesNewRomanPSMT" w:hAnsi="TimesNewRomanPSMT"/>
        </w:rPr>
        <w:t>nly</w:t>
      </w:r>
      <w:r>
        <w:rPr>
          <w:rFonts w:ascii="TimesNewRomanPSMT" w:hAnsi="TimesNewRomanPSMT"/>
        </w:rPr>
        <w:t xml:space="preserve"> contains</w:t>
      </w:r>
      <w:r w:rsidR="004266EC">
        <w:rPr>
          <w:rFonts w:ascii="TimesNewRomanPSMT" w:hAnsi="TimesNewRomanPSMT"/>
        </w:rPr>
        <w:t xml:space="preserve"> 11 splits, outperforming </w:t>
      </w:r>
      <w:r>
        <w:rPr>
          <w:rFonts w:ascii="TimesNewRomanPSMT" w:hAnsi="TimesNewRomanPSMT"/>
        </w:rPr>
        <w:t xml:space="preserve">the </w:t>
      </w:r>
      <w:r w:rsidR="004266EC">
        <w:rPr>
          <w:rFonts w:ascii="TimesNewRomanPSMT" w:hAnsi="TimesNewRomanPSMT"/>
        </w:rPr>
        <w:t>14</w:t>
      </w:r>
      <w:r>
        <w:rPr>
          <w:rFonts w:ascii="TimesNewRomanPSMT" w:hAnsi="TimesNewRomanPSMT"/>
        </w:rPr>
        <w:t xml:space="preserve"> splits</w:t>
      </w:r>
      <w:r w:rsidR="004266EC">
        <w:rPr>
          <w:rFonts w:ascii="TimesNewRomanPSMT" w:hAnsi="TimesNewRomanPSMT"/>
        </w:rPr>
        <w:t xml:space="preserve"> </w:t>
      </w:r>
      <w:r>
        <w:rPr>
          <w:rFonts w:ascii="TimesNewRomanPSMT" w:hAnsi="TimesNewRomanPSMT"/>
        </w:rPr>
        <w:t>in</w:t>
      </w:r>
      <w:r w:rsidR="004266EC">
        <w:rPr>
          <w:rFonts w:ascii="TimesNewRomanPSMT" w:hAnsi="TimesNewRomanPSMT"/>
        </w:rPr>
        <w:t xml:space="preserve"> the 2016 map and underperforming the </w:t>
      </w:r>
      <w:proofErr w:type="spellStart"/>
      <w:r w:rsidR="004266EC">
        <w:rPr>
          <w:rFonts w:ascii="TimesNewRomanPSMT" w:hAnsi="TimesNewRomanPSMT"/>
        </w:rPr>
        <w:t>Grofman-Trende</w:t>
      </w:r>
      <w:proofErr w:type="spellEnd"/>
      <w:r w:rsidR="004266EC">
        <w:rPr>
          <w:rFonts w:ascii="TimesNewRomanPSMT" w:hAnsi="TimesNewRomanPSMT"/>
        </w:rPr>
        <w:t xml:space="preserve"> Plan</w:t>
      </w:r>
      <w:r w:rsidR="005F3BE2">
        <w:rPr>
          <w:rFonts w:ascii="TimesNewRomanPSMT" w:hAnsi="TimesNewRomanPSMT"/>
        </w:rPr>
        <w:t>,</w:t>
      </w:r>
      <w:r w:rsidR="001C4AFA">
        <w:rPr>
          <w:rFonts w:ascii="TimesNewRomanPSMT" w:hAnsi="TimesNewRomanPSMT"/>
        </w:rPr>
        <w:t xml:space="preserve"> which only has 9 splits.</w:t>
      </w:r>
      <w:r w:rsidR="001F54F9">
        <w:rPr>
          <w:rFonts w:ascii="TimesNewRomanPSMT" w:hAnsi="TimesNewRomanPSMT"/>
        </w:rPr>
        <w:t xml:space="preserve"> </w:t>
      </w:r>
      <w:r w:rsidR="006F7375">
        <w:rPr>
          <w:rFonts w:ascii="Times" w:hAnsi="Times"/>
        </w:rPr>
        <w:t xml:space="preserve">As for compactness, </w:t>
      </w:r>
      <w:r w:rsidR="006F7375">
        <w:rPr>
          <w:rFonts w:ascii="TimesNewRomanPSMT" w:hAnsi="TimesNewRomanPSMT"/>
        </w:rPr>
        <w:t xml:space="preserve">it outperforms the </w:t>
      </w:r>
      <w:proofErr w:type="spellStart"/>
      <w:r w:rsidR="006F7375">
        <w:rPr>
          <w:rFonts w:ascii="TimesNewRomanPSMT" w:hAnsi="TimesNewRomanPSMT"/>
        </w:rPr>
        <w:t>Grofman-Trende</w:t>
      </w:r>
      <w:proofErr w:type="spellEnd"/>
      <w:r w:rsidR="006F7375">
        <w:rPr>
          <w:rFonts w:ascii="TimesNewRomanPSMT" w:hAnsi="TimesNewRomanPSMT"/>
        </w:rPr>
        <w:t xml:space="preserve"> plan on </w:t>
      </w:r>
      <w:proofErr w:type="spellStart"/>
      <w:r w:rsidR="006F7375">
        <w:rPr>
          <w:rFonts w:ascii="TimesNewRomanPSMT" w:hAnsi="TimesNewRomanPSMT"/>
        </w:rPr>
        <w:t>Reock</w:t>
      </w:r>
      <w:proofErr w:type="spellEnd"/>
      <w:r w:rsidR="006F7375">
        <w:rPr>
          <w:rFonts w:ascii="TimesNewRomanPSMT" w:hAnsi="TimesNewRomanPSMT"/>
        </w:rPr>
        <w:t xml:space="preserve"> scores in </w:t>
      </w:r>
      <w:proofErr w:type="gramStart"/>
      <w:r w:rsidR="005F3BE2">
        <w:rPr>
          <w:rFonts w:ascii="TimesNewRomanPSMT" w:hAnsi="TimesNewRomanPSMT"/>
        </w:rPr>
        <w:t>a majority of</w:t>
      </w:r>
      <w:proofErr w:type="gramEnd"/>
      <w:r w:rsidR="005F3BE2">
        <w:rPr>
          <w:rFonts w:ascii="TimesNewRomanPSMT" w:hAnsi="TimesNewRomanPSMT"/>
        </w:rPr>
        <w:t xml:space="preserve"> districts: </w:t>
      </w:r>
      <w:r w:rsidR="006F7375">
        <w:rPr>
          <w:rFonts w:ascii="TimesNewRomanPSMT" w:hAnsi="TimesNewRomanPSMT"/>
        </w:rPr>
        <w:t xml:space="preserve">all but the </w:t>
      </w:r>
      <w:r w:rsidR="009907B6">
        <w:rPr>
          <w:rFonts w:ascii="TimesNewRomanPSMT" w:hAnsi="TimesNewRomanPSMT"/>
        </w:rPr>
        <w:t>4</w:t>
      </w:r>
      <w:r w:rsidR="009907B6" w:rsidRPr="009907B6">
        <w:rPr>
          <w:rFonts w:ascii="TimesNewRomanPSMT" w:hAnsi="TimesNewRomanPSMT"/>
          <w:vertAlign w:val="superscript"/>
        </w:rPr>
        <w:t>th</w:t>
      </w:r>
      <w:r w:rsidR="009907B6">
        <w:rPr>
          <w:rFonts w:ascii="TimesNewRomanPSMT" w:hAnsi="TimesNewRomanPSMT"/>
        </w:rPr>
        <w:t>, 5</w:t>
      </w:r>
      <w:r w:rsidR="009907B6" w:rsidRPr="009907B6">
        <w:rPr>
          <w:rFonts w:ascii="TimesNewRomanPSMT" w:hAnsi="TimesNewRomanPSMT"/>
          <w:vertAlign w:val="superscript"/>
        </w:rPr>
        <w:t>th</w:t>
      </w:r>
      <w:r w:rsidR="009907B6">
        <w:rPr>
          <w:rFonts w:ascii="TimesNewRomanPSMT" w:hAnsi="TimesNewRomanPSMT"/>
        </w:rPr>
        <w:t xml:space="preserve">, </w:t>
      </w:r>
      <w:r w:rsidR="0051201C">
        <w:rPr>
          <w:rFonts w:ascii="TimesNewRomanPSMT" w:hAnsi="TimesNewRomanPSMT"/>
        </w:rPr>
        <w:t>8</w:t>
      </w:r>
      <w:r w:rsidR="0051201C" w:rsidRPr="006F7375">
        <w:rPr>
          <w:rFonts w:ascii="TimesNewRomanPSMT" w:hAnsi="TimesNewRomanPSMT"/>
          <w:vertAlign w:val="superscript"/>
        </w:rPr>
        <w:t>th</w:t>
      </w:r>
      <w:r w:rsidR="006F7375">
        <w:rPr>
          <w:rFonts w:ascii="TimesNewRomanPSMT" w:hAnsi="TimesNewRomanPSMT"/>
        </w:rPr>
        <w:t>, and</w:t>
      </w:r>
      <w:r w:rsidR="005F3BE2">
        <w:rPr>
          <w:rFonts w:ascii="TimesNewRomanPSMT" w:hAnsi="TimesNewRomanPSMT"/>
        </w:rPr>
        <w:t xml:space="preserve"> </w:t>
      </w:r>
      <w:r w:rsidR="006F7375">
        <w:rPr>
          <w:rFonts w:ascii="TimesNewRomanPSMT" w:hAnsi="TimesNewRomanPSMT"/>
        </w:rPr>
        <w:t>11</w:t>
      </w:r>
      <w:r w:rsidR="006F7375" w:rsidRPr="006F7375">
        <w:rPr>
          <w:rFonts w:ascii="TimesNewRomanPSMT" w:hAnsi="TimesNewRomanPSMT"/>
          <w:vertAlign w:val="superscript"/>
        </w:rPr>
        <w:t>th</w:t>
      </w:r>
      <w:r w:rsidR="006F7375">
        <w:rPr>
          <w:rFonts w:ascii="TimesNewRomanPSMT" w:hAnsi="TimesNewRomanPSMT"/>
        </w:rPr>
        <w:t xml:space="preserve"> Districts.</w:t>
      </w:r>
    </w:p>
    <w:p w14:paraId="4FD6AEF7" w14:textId="5060C545" w:rsidR="001B150F" w:rsidRDefault="001B150F" w:rsidP="006B4F2C">
      <w:pPr>
        <w:spacing w:line="360" w:lineRule="auto"/>
        <w:rPr>
          <w:rFonts w:ascii="TimesNewRomanPSMT" w:hAnsi="TimesNewRomanPSMT"/>
          <w:b/>
          <w:bCs/>
        </w:rPr>
      </w:pPr>
      <w:r w:rsidRPr="006B4F2C">
        <w:rPr>
          <w:rFonts w:ascii="TimesNewRomanPSMT" w:hAnsi="TimesNewRomanPSMT"/>
          <w:b/>
          <w:bCs/>
        </w:rPr>
        <w:t xml:space="preserve">Tradeoffs </w:t>
      </w:r>
    </w:p>
    <w:p w14:paraId="12FCF157" w14:textId="604202C0" w:rsidR="00F946F5" w:rsidRDefault="003E6EE6" w:rsidP="0006694E">
      <w:pPr>
        <w:spacing w:line="480" w:lineRule="auto"/>
        <w:rPr>
          <w:rFonts w:ascii="TimesNewRomanPSMT" w:hAnsi="TimesNewRomanPSMT"/>
        </w:rPr>
      </w:pPr>
      <w:r>
        <w:rPr>
          <w:rFonts w:ascii="TimesNewRomanPSMT" w:hAnsi="TimesNewRomanPSMT"/>
        </w:rPr>
        <w:tab/>
        <w:t xml:space="preserve">I created this map first by grouping </w:t>
      </w:r>
      <w:r w:rsidR="005E2DB1">
        <w:rPr>
          <w:rFonts w:ascii="TimesNewRomanPSMT" w:hAnsi="TimesNewRomanPSMT"/>
        </w:rPr>
        <w:t>large communities of interest: Northern Virginia, Appalachia, Charlottesville-Richmond,</w:t>
      </w:r>
      <w:r w:rsidR="005F3BE2">
        <w:rPr>
          <w:rFonts w:ascii="TimesNewRomanPSMT" w:hAnsi="TimesNewRomanPSMT"/>
        </w:rPr>
        <w:t xml:space="preserve"> and</w:t>
      </w:r>
      <w:r w:rsidR="005E2DB1">
        <w:rPr>
          <w:rFonts w:ascii="TimesNewRomanPSMT" w:hAnsi="TimesNewRomanPSMT"/>
        </w:rPr>
        <w:t xml:space="preserve"> Hampton Roads. I then controlled for </w:t>
      </w:r>
      <w:r w:rsidR="00E723FF">
        <w:rPr>
          <w:rFonts w:ascii="TimesNewRomanPSMT" w:hAnsi="TimesNewRomanPSMT"/>
        </w:rPr>
        <w:t>population equality and compactness, using smaller communities of interest on Representable to guide my choices</w:t>
      </w:r>
      <w:r w:rsidR="000C25B3">
        <w:rPr>
          <w:rFonts w:ascii="TimesNewRomanPSMT" w:hAnsi="TimesNewRomanPSMT"/>
        </w:rPr>
        <w:t xml:space="preserve"> about where and how to split subdivisions</w:t>
      </w:r>
      <w:r w:rsidR="00E723FF">
        <w:rPr>
          <w:rFonts w:ascii="TimesNewRomanPSMT" w:hAnsi="TimesNewRomanPSMT"/>
        </w:rPr>
        <w:t>.</w:t>
      </w:r>
      <w:r w:rsidR="00711C9D">
        <w:rPr>
          <w:rFonts w:ascii="TimesNewRomanPSMT" w:hAnsi="TimesNewRomanPSMT"/>
        </w:rPr>
        <w:t xml:space="preserve"> As a result of this strategy, districts with fewer small communities of interest</w:t>
      </w:r>
      <w:r w:rsidR="000929D3">
        <w:rPr>
          <w:rFonts w:ascii="TimesNewRomanPSMT" w:hAnsi="TimesNewRomanPSMT"/>
        </w:rPr>
        <w:t xml:space="preserve"> and fewer</w:t>
      </w:r>
      <w:r w:rsidR="00651224">
        <w:rPr>
          <w:rFonts w:ascii="TimesNewRomanPSMT" w:hAnsi="TimesNewRomanPSMT"/>
        </w:rPr>
        <w:t xml:space="preserve"> broader statewide</w:t>
      </w:r>
      <w:r w:rsidR="000929D3">
        <w:rPr>
          <w:rFonts w:ascii="TimesNewRomanPSMT" w:hAnsi="TimesNewRomanPSMT"/>
        </w:rPr>
        <w:t xml:space="preserve"> ties were less culturally coherent than</w:t>
      </w:r>
      <w:r w:rsidR="000C1EBA">
        <w:rPr>
          <w:rFonts w:ascii="TimesNewRomanPSMT" w:hAnsi="TimesNewRomanPSMT"/>
        </w:rPr>
        <w:t xml:space="preserve"> was ideal.</w:t>
      </w:r>
      <w:r w:rsidR="00AC7C3F">
        <w:rPr>
          <w:rFonts w:ascii="TimesNewRomanPSMT" w:hAnsi="TimesNewRomanPSMT"/>
        </w:rPr>
        <w:t xml:space="preserve"> </w:t>
      </w:r>
      <w:r w:rsidR="00453417">
        <w:rPr>
          <w:rFonts w:ascii="TimesNewRomanPSMT" w:hAnsi="TimesNewRomanPSMT"/>
        </w:rPr>
        <w:t>Namely</w:t>
      </w:r>
      <w:r w:rsidR="00B75AEA">
        <w:rPr>
          <w:rFonts w:ascii="TimesNewRomanPSMT" w:hAnsi="TimesNewRomanPSMT"/>
        </w:rPr>
        <w:t>,</w:t>
      </w:r>
      <w:r w:rsidR="00453417">
        <w:rPr>
          <w:rFonts w:ascii="TimesNewRomanPSMT" w:hAnsi="TimesNewRomanPSMT"/>
        </w:rPr>
        <w:t xml:space="preserve"> the </w:t>
      </w:r>
      <w:r w:rsidR="00B75AEA">
        <w:rPr>
          <w:rFonts w:ascii="TimesNewRomanPSMT" w:hAnsi="TimesNewRomanPSMT"/>
        </w:rPr>
        <w:t xml:space="preserve">cultural coherence of the </w:t>
      </w:r>
      <w:r w:rsidR="00F946F5">
        <w:rPr>
          <w:rFonts w:ascii="TimesNewRomanPSMT" w:hAnsi="TimesNewRomanPSMT"/>
        </w:rPr>
        <w:t>1</w:t>
      </w:r>
      <w:r w:rsidR="00F946F5" w:rsidRPr="00F946F5">
        <w:rPr>
          <w:rFonts w:ascii="TimesNewRomanPSMT" w:hAnsi="TimesNewRomanPSMT"/>
          <w:vertAlign w:val="superscript"/>
        </w:rPr>
        <w:t>st</w:t>
      </w:r>
      <w:r w:rsidR="00F946F5">
        <w:rPr>
          <w:rFonts w:ascii="TimesNewRomanPSMT" w:hAnsi="TimesNewRomanPSMT"/>
        </w:rPr>
        <w:t xml:space="preserve"> and 4</w:t>
      </w:r>
      <w:r w:rsidR="00217F78" w:rsidRPr="00217F78">
        <w:rPr>
          <w:rFonts w:ascii="TimesNewRomanPSMT" w:hAnsi="TimesNewRomanPSMT"/>
          <w:vertAlign w:val="superscript"/>
        </w:rPr>
        <w:t>th</w:t>
      </w:r>
      <w:r w:rsidR="00217F78">
        <w:rPr>
          <w:rFonts w:ascii="TimesNewRomanPSMT" w:hAnsi="TimesNewRomanPSMT"/>
        </w:rPr>
        <w:t xml:space="preserve"> Districts </w:t>
      </w:r>
      <w:r w:rsidR="000C25B3">
        <w:rPr>
          <w:rFonts w:ascii="TimesNewRomanPSMT" w:hAnsi="TimesNewRomanPSMT"/>
        </w:rPr>
        <w:t>suffered for</w:t>
      </w:r>
      <w:r w:rsidR="00850C54">
        <w:rPr>
          <w:rFonts w:ascii="TimesNewRomanPSMT" w:hAnsi="TimesNewRomanPSMT"/>
        </w:rPr>
        <w:t xml:space="preserve"> the other nine districts.</w:t>
      </w:r>
    </w:p>
    <w:p w14:paraId="3F19BA72" w14:textId="7C5DCA8D" w:rsidR="00172C1E" w:rsidRPr="00265792" w:rsidRDefault="0006694E" w:rsidP="00265792">
      <w:pPr>
        <w:spacing w:line="480" w:lineRule="auto"/>
        <w:ind w:firstLine="720"/>
        <w:rPr>
          <w:rFonts w:ascii="TimesNewRomanPSMT" w:hAnsi="TimesNewRomanPSMT"/>
        </w:rPr>
      </w:pPr>
      <w:r>
        <w:rPr>
          <w:rFonts w:ascii="TimesNewRomanPSMT" w:hAnsi="TimesNewRomanPSMT"/>
        </w:rPr>
        <w:t xml:space="preserve">Similarly, </w:t>
      </w:r>
      <w:r w:rsidR="006B4F2C">
        <w:rPr>
          <w:rFonts w:ascii="TimesNewRomanPSMT" w:hAnsi="TimesNewRomanPSMT"/>
        </w:rPr>
        <w:t>VRA Compliance</w:t>
      </w:r>
      <w:r>
        <w:rPr>
          <w:rFonts w:ascii="TimesNewRomanPSMT" w:hAnsi="TimesNewRomanPSMT"/>
        </w:rPr>
        <w:t xml:space="preserve"> in District 4</w:t>
      </w:r>
      <w:r w:rsidR="00736032">
        <w:rPr>
          <w:rFonts w:ascii="TimesNewRomanPSMT" w:hAnsi="TimesNewRomanPSMT"/>
        </w:rPr>
        <w:t xml:space="preserve"> was not possible</w:t>
      </w:r>
      <w:r>
        <w:rPr>
          <w:rFonts w:ascii="TimesNewRomanPSMT" w:hAnsi="TimesNewRomanPSMT"/>
        </w:rPr>
        <w:t xml:space="preserve">. </w:t>
      </w:r>
      <w:r w:rsidR="009F570A">
        <w:rPr>
          <w:rFonts w:ascii="TimesNewRomanPSMT" w:hAnsi="TimesNewRomanPSMT"/>
        </w:rPr>
        <w:t>A</w:t>
      </w:r>
      <w:r w:rsidR="009F570A">
        <w:rPr>
          <w:rFonts w:ascii="TimesNewRomanPSMT" w:hAnsi="TimesNewRomanPSMT"/>
        </w:rPr>
        <w:t>s discussed above,</w:t>
      </w:r>
      <w:r w:rsidR="009F570A">
        <w:rPr>
          <w:rFonts w:ascii="TimesNewRomanPSMT" w:hAnsi="TimesNewRomanPSMT"/>
        </w:rPr>
        <w:t xml:space="preserve"> there is something of a catch-22</w:t>
      </w:r>
      <w:r w:rsidR="002660FC">
        <w:rPr>
          <w:rFonts w:ascii="TimesNewRomanPSMT" w:hAnsi="TimesNewRomanPSMT"/>
        </w:rPr>
        <w:t xml:space="preserve"> in this plan.</w:t>
      </w:r>
      <w:r w:rsidR="009F570A">
        <w:rPr>
          <w:rFonts w:ascii="TimesNewRomanPSMT" w:hAnsi="TimesNewRomanPSMT"/>
        </w:rPr>
        <w:t xml:space="preserve"> </w:t>
      </w:r>
      <w:r w:rsidR="002660FC">
        <w:rPr>
          <w:rFonts w:ascii="TimesNewRomanPSMT" w:hAnsi="TimesNewRomanPSMT"/>
        </w:rPr>
        <w:t>A</w:t>
      </w:r>
      <w:r w:rsidR="00207D5E">
        <w:rPr>
          <w:rFonts w:ascii="TimesNewRomanPSMT" w:hAnsi="TimesNewRomanPSMT"/>
        </w:rPr>
        <w:t xml:space="preserve">ttempts to keep Black communities intact within one district means </w:t>
      </w:r>
      <w:r w:rsidR="004A5395">
        <w:rPr>
          <w:rFonts w:ascii="TimesNewRomanPSMT" w:hAnsi="TimesNewRomanPSMT"/>
        </w:rPr>
        <w:t>a</w:t>
      </w:r>
      <w:r w:rsidR="00207D5E">
        <w:rPr>
          <w:rFonts w:ascii="TimesNewRomanPSMT" w:hAnsi="TimesNewRomanPSMT"/>
        </w:rPr>
        <w:t xml:space="preserve"> resulting map </w:t>
      </w:r>
      <w:r w:rsidR="004A5395">
        <w:rPr>
          <w:rFonts w:ascii="TimesNewRomanPSMT" w:hAnsi="TimesNewRomanPSMT"/>
        </w:rPr>
        <w:t>likely</w:t>
      </w:r>
      <w:r w:rsidR="00207D5E">
        <w:rPr>
          <w:rFonts w:ascii="TimesNewRomanPSMT" w:hAnsi="TimesNewRomanPSMT"/>
        </w:rPr>
        <w:t xml:space="preserve"> dilutes Black communities</w:t>
      </w:r>
      <w:r w:rsidR="004A5395">
        <w:rPr>
          <w:rFonts w:ascii="TimesNewRomanPSMT" w:hAnsi="TimesNewRomanPSMT"/>
        </w:rPr>
        <w:t xml:space="preserve">, depriving them of the </w:t>
      </w:r>
      <w:r w:rsidR="004A5395">
        <w:rPr>
          <w:rFonts w:ascii="TimesNewRomanPSMT" w:hAnsi="TimesNewRomanPSMT"/>
        </w:rPr>
        <w:lastRenderedPageBreak/>
        <w:t>opportunity to have two ability-to-elect districts</w:t>
      </w:r>
      <w:r w:rsidR="00207D5E">
        <w:rPr>
          <w:rFonts w:ascii="TimesNewRomanPSMT" w:hAnsi="TimesNewRomanPSMT"/>
        </w:rPr>
        <w:t>.</w:t>
      </w:r>
      <w:r w:rsidR="00CE3FC0">
        <w:rPr>
          <w:rFonts w:ascii="TimesNewRomanPSMT" w:hAnsi="TimesNewRomanPSMT"/>
        </w:rPr>
        <w:t xml:space="preserve"> This challenge highlights the occasional incompatibility between community of interest principles and</w:t>
      </w:r>
      <w:r w:rsidR="009D3209">
        <w:rPr>
          <w:rFonts w:ascii="TimesNewRomanPSMT" w:hAnsi="TimesNewRomanPSMT"/>
        </w:rPr>
        <w:t xml:space="preserve"> federal and state laws that attempt to protect them</w:t>
      </w:r>
      <w:r w:rsidR="004A5395">
        <w:rPr>
          <w:rFonts w:ascii="TimesNewRomanPSMT" w:hAnsi="TimesNewRomanPSMT"/>
        </w:rPr>
        <w:t xml:space="preserve"> racial minorities</w:t>
      </w:r>
      <w:r w:rsidR="009D3209">
        <w:rPr>
          <w:rFonts w:ascii="TimesNewRomanPSMT" w:hAnsi="TimesNewRomanPSMT"/>
        </w:rPr>
        <w:t>.</w:t>
      </w:r>
      <w:r w:rsidR="00D9390E">
        <w:rPr>
          <w:rFonts w:ascii="TimesNewRomanPSMT" w:hAnsi="TimesNewRomanPSMT"/>
        </w:rPr>
        <w:t xml:space="preserve"> Ultimately, I decide</w:t>
      </w:r>
      <w:r w:rsidR="004A5395">
        <w:rPr>
          <w:rFonts w:ascii="TimesNewRomanPSMT" w:hAnsi="TimesNewRomanPSMT"/>
        </w:rPr>
        <w:t xml:space="preserve">d </w:t>
      </w:r>
      <w:r w:rsidR="00D9390E">
        <w:rPr>
          <w:rFonts w:ascii="TimesNewRomanPSMT" w:hAnsi="TimesNewRomanPSMT"/>
        </w:rPr>
        <w:t>that a map displaying Virginia divided most closely according to its communities w</w:t>
      </w:r>
      <w:r w:rsidR="00B27CA0">
        <w:rPr>
          <w:rFonts w:ascii="TimesNewRomanPSMT" w:hAnsi="TimesNewRomanPSMT"/>
        </w:rPr>
        <w:t xml:space="preserve">ould benefit the redistricting discourse, even if the map could not be used. </w:t>
      </w:r>
    </w:p>
    <w:p w14:paraId="1FBC6841" w14:textId="7C970E05" w:rsidR="006E6E5D" w:rsidRPr="00C301B8" w:rsidRDefault="001276B0" w:rsidP="006E6E5D">
      <w:pPr>
        <w:pStyle w:val="ListParagraph"/>
        <w:numPr>
          <w:ilvl w:val="0"/>
          <w:numId w:val="2"/>
        </w:numPr>
        <w:spacing w:line="480" w:lineRule="auto"/>
        <w:jc w:val="center"/>
        <w:rPr>
          <w:rFonts w:ascii="Times" w:hAnsi="Times"/>
          <w:sz w:val="32"/>
          <w:szCs w:val="32"/>
        </w:rPr>
      </w:pPr>
      <w:r w:rsidRPr="006E6E5D">
        <w:rPr>
          <w:rFonts w:ascii="Times" w:hAnsi="Times"/>
          <w:b/>
          <w:bCs/>
          <w:sz w:val="32"/>
          <w:szCs w:val="32"/>
        </w:rPr>
        <w:t>Proportional Representation</w:t>
      </w:r>
    </w:p>
    <w:p w14:paraId="44CA8943" w14:textId="6B818BF9" w:rsidR="001025EE" w:rsidRPr="00B25E0B" w:rsidRDefault="006D19D0" w:rsidP="00B25E0B">
      <w:pPr>
        <w:spacing w:line="480" w:lineRule="auto"/>
        <w:rPr>
          <w:rFonts w:ascii="Times" w:hAnsi="Times"/>
          <w:b/>
          <w:bCs/>
        </w:rPr>
      </w:pPr>
      <w:r>
        <w:rPr>
          <w:rFonts w:ascii="Times" w:hAnsi="Times"/>
          <w:b/>
          <w:bCs/>
          <w:noProof/>
          <w:sz w:val="22"/>
          <w:szCs w:val="22"/>
        </w:rPr>
        <w:drawing>
          <wp:inline distT="0" distB="0" distL="0" distR="0" wp14:anchorId="63E3C372" wp14:editId="76869301">
            <wp:extent cx="5943600" cy="2536740"/>
            <wp:effectExtent l="0" t="0" r="0" b="3810"/>
            <wp:docPr id="10" name="Picture 10" descr="Map&#10;&#10;Description automatically genera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a:extLst>
                        <a:ext uri="{C183D7F6-B498-43B3-948B-1728B52AA6E4}">
                          <adec:decorative xmlns:adec="http://schemas.microsoft.com/office/drawing/2017/decorative" val="0"/>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5943600" cy="2536740"/>
                    </a:xfrm>
                    <a:prstGeom prst="rect">
                      <a:avLst/>
                    </a:prstGeom>
                  </pic:spPr>
                </pic:pic>
              </a:graphicData>
            </a:graphic>
          </wp:inline>
        </w:drawing>
      </w:r>
      <w:r w:rsidR="001025EE" w:rsidRPr="00B25E0B">
        <w:rPr>
          <w:rFonts w:ascii="Times" w:hAnsi="Times"/>
          <w:b/>
          <w:bCs/>
        </w:rPr>
        <w:t>Redistricting Principles and Map Summary</w:t>
      </w:r>
    </w:p>
    <w:p w14:paraId="4085F24F" w14:textId="7DD14E0A" w:rsidR="004E2957" w:rsidRDefault="00A56F65" w:rsidP="00C0683D">
      <w:pPr>
        <w:spacing w:line="480" w:lineRule="auto"/>
        <w:ind w:firstLine="720"/>
        <w:jc w:val="both"/>
        <w:rPr>
          <w:rFonts w:ascii="Times" w:hAnsi="Times"/>
        </w:rPr>
      </w:pPr>
      <w:r w:rsidRPr="006E6E5D">
        <w:rPr>
          <w:rFonts w:ascii="Times" w:hAnsi="Times"/>
        </w:rPr>
        <w:t xml:space="preserve">This plan prioritizes proportional representation based on Virginia’s 2020 presidential and </w:t>
      </w:r>
      <w:r w:rsidR="006D19D0">
        <w:rPr>
          <w:rFonts w:ascii="Times" w:hAnsi="Times"/>
        </w:rPr>
        <w:t>senate</w:t>
      </w:r>
      <w:r w:rsidRPr="006E6E5D">
        <w:rPr>
          <w:rFonts w:ascii="Times" w:hAnsi="Times"/>
        </w:rPr>
        <w:t xml:space="preserve"> election results. </w:t>
      </w:r>
      <w:r w:rsidR="003609B5" w:rsidRPr="006E6E5D">
        <w:rPr>
          <w:rFonts w:ascii="Times" w:hAnsi="Times"/>
        </w:rPr>
        <w:t>It is important to note that</w:t>
      </w:r>
      <w:r w:rsidR="000B212E" w:rsidRPr="006E6E5D">
        <w:rPr>
          <w:rFonts w:ascii="Times" w:hAnsi="Times"/>
        </w:rPr>
        <w:t xml:space="preserve"> Virginia law prohibits the use of partisan data in </w:t>
      </w:r>
      <w:r w:rsidR="003609B5" w:rsidRPr="006E6E5D">
        <w:rPr>
          <w:rFonts w:ascii="Times" w:hAnsi="Times"/>
        </w:rPr>
        <w:t xml:space="preserve">redistricting, so </w:t>
      </w:r>
      <w:r w:rsidR="000B212E" w:rsidRPr="006E6E5D">
        <w:rPr>
          <w:rFonts w:ascii="Times" w:hAnsi="Times"/>
        </w:rPr>
        <w:t>this map</w:t>
      </w:r>
      <w:r w:rsidR="003609B5" w:rsidRPr="006E6E5D">
        <w:rPr>
          <w:rFonts w:ascii="Times" w:hAnsi="Times"/>
        </w:rPr>
        <w:t xml:space="preserve"> is noncompliant because it was drawn based on</w:t>
      </w:r>
      <w:r w:rsidR="000B212E" w:rsidRPr="006E6E5D">
        <w:rPr>
          <w:rFonts w:ascii="Times" w:hAnsi="Times"/>
        </w:rPr>
        <w:t xml:space="preserve"> 2020 </w:t>
      </w:r>
      <w:r w:rsidR="000C3D94">
        <w:rPr>
          <w:rFonts w:ascii="Times" w:hAnsi="Times"/>
        </w:rPr>
        <w:t>senate</w:t>
      </w:r>
      <w:r w:rsidR="000B212E" w:rsidRPr="006E6E5D">
        <w:rPr>
          <w:rFonts w:ascii="Times" w:hAnsi="Times"/>
        </w:rPr>
        <w:t xml:space="preserve"> and presidential</w:t>
      </w:r>
      <w:r w:rsidRPr="006E6E5D">
        <w:rPr>
          <w:rFonts w:ascii="Times" w:hAnsi="Times"/>
        </w:rPr>
        <w:t xml:space="preserve"> election</w:t>
      </w:r>
      <w:r w:rsidR="000B212E" w:rsidRPr="006E6E5D">
        <w:rPr>
          <w:rFonts w:ascii="Times" w:hAnsi="Times"/>
        </w:rPr>
        <w:t xml:space="preserve"> data</w:t>
      </w:r>
      <w:r w:rsidRPr="006E6E5D">
        <w:rPr>
          <w:rFonts w:ascii="Times" w:hAnsi="Times"/>
        </w:rPr>
        <w:t xml:space="preserve">. In 2020, Senator Mark Warner outperformed President Biden, capturing 56% of statewide vote share to Biden’s 54%. This plan reflects </w:t>
      </w:r>
      <w:r w:rsidR="009F10BE" w:rsidRPr="006E6E5D">
        <w:rPr>
          <w:rFonts w:ascii="Times" w:hAnsi="Times"/>
        </w:rPr>
        <w:t>that</w:t>
      </w:r>
      <w:r w:rsidRPr="006E6E5D">
        <w:rPr>
          <w:rFonts w:ascii="Times" w:hAnsi="Times"/>
        </w:rPr>
        <w:t xml:space="preserve"> split, creating 5 safe Democratic seats, 4 safe Republican seats</w:t>
      </w:r>
      <w:r w:rsidR="009F10BE" w:rsidRPr="006E6E5D">
        <w:rPr>
          <w:rFonts w:ascii="Times" w:hAnsi="Times"/>
        </w:rPr>
        <w:t xml:space="preserve">, </w:t>
      </w:r>
      <w:r w:rsidRPr="006E6E5D">
        <w:rPr>
          <w:rFonts w:ascii="Times" w:hAnsi="Times"/>
        </w:rPr>
        <w:t>one</w:t>
      </w:r>
      <w:r w:rsidR="009F10BE" w:rsidRPr="006E6E5D">
        <w:rPr>
          <w:rFonts w:ascii="Times" w:hAnsi="Times"/>
        </w:rPr>
        <w:t xml:space="preserve"> Republican-leaning seat, and one competitive seat. </w:t>
      </w:r>
      <w:r w:rsidR="004E2957">
        <w:rPr>
          <w:rFonts w:ascii="Times" w:hAnsi="Times"/>
        </w:rPr>
        <w:t>Currently, Virginia Republicans hold 4 seats in Congress while Democrats hold 7</w:t>
      </w:r>
      <w:r w:rsidR="00364586">
        <w:rPr>
          <w:rFonts w:ascii="Times" w:hAnsi="Times"/>
        </w:rPr>
        <w:t xml:space="preserve">, two of which are </w:t>
      </w:r>
      <w:r w:rsidR="005C4BA3">
        <w:rPr>
          <w:rFonts w:ascii="Times" w:hAnsi="Times"/>
        </w:rPr>
        <w:t>highly competitive and held by Democrats</w:t>
      </w:r>
      <w:r w:rsidR="000C3D94">
        <w:rPr>
          <w:rFonts w:ascii="Times" w:hAnsi="Times"/>
        </w:rPr>
        <w:t>. Those two Democrats</w:t>
      </w:r>
      <w:r w:rsidR="005C4BA3">
        <w:rPr>
          <w:rFonts w:ascii="Times" w:hAnsi="Times"/>
        </w:rPr>
        <w:t xml:space="preserve"> took </w:t>
      </w:r>
      <w:r w:rsidR="00876461">
        <w:rPr>
          <w:rFonts w:ascii="Times" w:hAnsi="Times"/>
        </w:rPr>
        <w:t xml:space="preserve">former </w:t>
      </w:r>
      <w:r w:rsidR="005C4BA3">
        <w:rPr>
          <w:rFonts w:ascii="Times" w:hAnsi="Times"/>
        </w:rPr>
        <w:t xml:space="preserve">Republican seats </w:t>
      </w:r>
      <w:r w:rsidR="005C4BA3">
        <w:rPr>
          <w:rFonts w:ascii="Times" w:hAnsi="Times"/>
        </w:rPr>
        <w:lastRenderedPageBreak/>
        <w:t>in the 2018 midterms.</w:t>
      </w:r>
      <w:r w:rsidR="00876461">
        <w:rPr>
          <w:rFonts w:ascii="Times" w:hAnsi="Times"/>
        </w:rPr>
        <w:t xml:space="preserve"> This plan therefore creates at least a one seat gain for Republicans</w:t>
      </w:r>
      <w:r w:rsidR="00053701">
        <w:rPr>
          <w:rFonts w:ascii="Times" w:hAnsi="Times"/>
        </w:rPr>
        <w:t xml:space="preserve">. That aspect of the map was intentional as Republicans most recently outperformed Democrats in the 2021 statewide </w:t>
      </w:r>
      <w:proofErr w:type="gramStart"/>
      <w:r w:rsidR="00053701">
        <w:rPr>
          <w:rFonts w:ascii="Times" w:hAnsi="Times"/>
        </w:rPr>
        <w:t>elections</w:t>
      </w:r>
      <w:proofErr w:type="gramEnd"/>
      <w:r w:rsidR="000C3D94">
        <w:rPr>
          <w:rFonts w:ascii="Times" w:hAnsi="Times"/>
        </w:rPr>
        <w:t xml:space="preserve"> and I aimed to reflect that change in apportioning seats to parties</w:t>
      </w:r>
      <w:r w:rsidR="00053701">
        <w:rPr>
          <w:rFonts w:ascii="Times" w:hAnsi="Times"/>
        </w:rPr>
        <w:t>.</w:t>
      </w:r>
      <w:r w:rsidR="00001AF7">
        <w:rPr>
          <w:rFonts w:ascii="Times" w:hAnsi="Times"/>
        </w:rPr>
        <w:t xml:space="preserve"> </w:t>
      </w:r>
      <w:r w:rsidR="001F6776">
        <w:rPr>
          <w:rFonts w:ascii="Times" w:hAnsi="Times"/>
        </w:rPr>
        <w:t>Plan Score gives this map a Partisan Bias score of 2.9% Republican, significantly lower than the 5.9% Republican bias of the 2016 maps.</w:t>
      </w:r>
      <w:r w:rsidR="00001AF7">
        <w:rPr>
          <w:rFonts w:ascii="Times" w:hAnsi="Times"/>
        </w:rPr>
        <w:t xml:space="preserve"> </w:t>
      </w:r>
    </w:p>
    <w:p w14:paraId="76E719D4" w14:textId="6AA1ECEE" w:rsidR="00214DFB" w:rsidRDefault="00B25E0B" w:rsidP="00C0683D">
      <w:pPr>
        <w:spacing w:line="480" w:lineRule="auto"/>
        <w:ind w:firstLine="720"/>
        <w:jc w:val="both"/>
        <w:rPr>
          <w:rFonts w:ascii="Times" w:hAnsi="Times"/>
        </w:rPr>
      </w:pPr>
      <w:r>
        <w:rPr>
          <w:rFonts w:ascii="Times" w:hAnsi="Times"/>
        </w:rPr>
        <w:t>It ultimately scores</w:t>
      </w:r>
      <w:r w:rsidR="00C1045E">
        <w:rPr>
          <w:rFonts w:ascii="Times" w:hAnsi="Times"/>
        </w:rPr>
        <w:t xml:space="preserve"> an 85 for proportionality on Dave’s Redistricting App (</w:t>
      </w:r>
      <w:r w:rsidR="00E0079C">
        <w:rPr>
          <w:rFonts w:ascii="Times" w:hAnsi="Times"/>
        </w:rPr>
        <w:t>higher is more proportional</w:t>
      </w:r>
      <w:r w:rsidR="00C1045E">
        <w:rPr>
          <w:rFonts w:ascii="Times" w:hAnsi="Times"/>
        </w:rPr>
        <w:t>)</w:t>
      </w:r>
      <w:r w:rsidR="00676C47">
        <w:rPr>
          <w:rFonts w:ascii="Times" w:hAnsi="Times"/>
        </w:rPr>
        <w:t xml:space="preserve">, slightly underperforming the </w:t>
      </w:r>
      <w:proofErr w:type="spellStart"/>
      <w:r w:rsidR="00676C47">
        <w:rPr>
          <w:rFonts w:ascii="Times" w:hAnsi="Times"/>
        </w:rPr>
        <w:t>Grofman</w:t>
      </w:r>
      <w:r w:rsidR="00E0079C">
        <w:rPr>
          <w:rFonts w:ascii="Times" w:hAnsi="Times"/>
        </w:rPr>
        <w:t>-Trende</w:t>
      </w:r>
      <w:proofErr w:type="spellEnd"/>
      <w:r w:rsidR="00E0079C">
        <w:rPr>
          <w:rFonts w:ascii="Times" w:hAnsi="Times"/>
        </w:rPr>
        <w:t xml:space="preserve"> plan which scored 100</w:t>
      </w:r>
      <w:r w:rsidR="00C1045E">
        <w:rPr>
          <w:rFonts w:ascii="Times" w:hAnsi="Times"/>
        </w:rPr>
        <w:t>.</w:t>
      </w:r>
      <w:r w:rsidR="00423D71">
        <w:rPr>
          <w:rFonts w:ascii="Times" w:hAnsi="Times"/>
        </w:rPr>
        <w:t xml:space="preserve"> This due in large part to the fact that </w:t>
      </w:r>
      <w:r w:rsidR="00F50B4E">
        <w:rPr>
          <w:rFonts w:ascii="Times" w:hAnsi="Times"/>
        </w:rPr>
        <w:t xml:space="preserve">Dave’s aggregates 2016 and 2020 </w:t>
      </w:r>
      <w:r w:rsidR="00D90E06">
        <w:rPr>
          <w:rFonts w:ascii="Times" w:hAnsi="Times"/>
        </w:rPr>
        <w:t>p</w:t>
      </w:r>
      <w:r w:rsidR="00F50B4E">
        <w:rPr>
          <w:rFonts w:ascii="Times" w:hAnsi="Times"/>
        </w:rPr>
        <w:t xml:space="preserve">residential and </w:t>
      </w:r>
      <w:r w:rsidR="000C3D94">
        <w:rPr>
          <w:rFonts w:ascii="Times" w:hAnsi="Times"/>
        </w:rPr>
        <w:t>S</w:t>
      </w:r>
      <w:r w:rsidR="00F50B4E">
        <w:rPr>
          <w:rFonts w:ascii="Times" w:hAnsi="Times"/>
        </w:rPr>
        <w:t xml:space="preserve">enate data to reach 6 </w:t>
      </w:r>
      <w:r w:rsidR="002E2F95">
        <w:rPr>
          <w:rFonts w:ascii="Times" w:hAnsi="Times"/>
        </w:rPr>
        <w:t xml:space="preserve">Democratic seats </w:t>
      </w:r>
      <w:r w:rsidR="00D90E06">
        <w:rPr>
          <w:rFonts w:ascii="Times" w:hAnsi="Times"/>
        </w:rPr>
        <w:t>as the most proportional. I opted to use 2020 presidential and senate and 2021 gubernatorial data</w:t>
      </w:r>
      <w:r w:rsidR="00360ADB">
        <w:rPr>
          <w:rFonts w:ascii="Times" w:hAnsi="Times"/>
        </w:rPr>
        <w:t>, which was less generous to Democrats. As a result, I aimed for 5 Democratic seats</w:t>
      </w:r>
      <w:r w:rsidR="00333309">
        <w:rPr>
          <w:rFonts w:ascii="Times" w:hAnsi="Times"/>
        </w:rPr>
        <w:t xml:space="preserve">. </w:t>
      </w:r>
      <w:proofErr w:type="spellStart"/>
      <w:r w:rsidR="00333309">
        <w:rPr>
          <w:rFonts w:ascii="Times" w:hAnsi="Times"/>
        </w:rPr>
        <w:t>Grofman-Trende</w:t>
      </w:r>
      <w:proofErr w:type="spellEnd"/>
      <w:r w:rsidR="00333309">
        <w:rPr>
          <w:rFonts w:ascii="Times" w:hAnsi="Times"/>
        </w:rPr>
        <w:t xml:space="preserve"> also used 2016-2020 data in evaluating their plan</w:t>
      </w:r>
      <w:r w:rsidR="007144D0">
        <w:rPr>
          <w:rFonts w:ascii="Times" w:hAnsi="Times"/>
        </w:rPr>
        <w:t xml:space="preserve">, explaining in some part why their plan is more </w:t>
      </w:r>
      <w:r w:rsidR="000C3D94">
        <w:rPr>
          <w:rFonts w:ascii="Times" w:hAnsi="Times"/>
        </w:rPr>
        <w:t>representative</w:t>
      </w:r>
      <w:r w:rsidR="007144D0">
        <w:rPr>
          <w:rFonts w:ascii="Times" w:hAnsi="Times"/>
        </w:rPr>
        <w:t xml:space="preserve"> by the Dave’s measure.</w:t>
      </w:r>
    </w:p>
    <w:p w14:paraId="610B6161" w14:textId="686F26FB" w:rsidR="009520B1" w:rsidRPr="009520B1" w:rsidRDefault="009520B1" w:rsidP="009520B1">
      <w:pPr>
        <w:spacing w:line="480" w:lineRule="auto"/>
        <w:jc w:val="center"/>
        <w:rPr>
          <w:rFonts w:ascii="Times" w:hAnsi="Times"/>
          <w:i/>
          <w:iCs/>
        </w:rPr>
      </w:pPr>
      <w:r>
        <w:rPr>
          <w:rFonts w:ascii="Times" w:hAnsi="Times"/>
          <w:i/>
          <w:iCs/>
        </w:rPr>
        <w:t>Virginia with VTDs shaded by partisanship (deeper blue is greater 2020 Democratic vote share, deeper red is greater Republican)</w:t>
      </w:r>
    </w:p>
    <w:p w14:paraId="033A497C" w14:textId="73675C01" w:rsidR="000D0AD5" w:rsidRPr="000D0AD5" w:rsidRDefault="000D0AD5" w:rsidP="000D0AD5">
      <w:r w:rsidRPr="000D0AD5">
        <w:fldChar w:fldCharType="begin"/>
      </w:r>
      <w:r w:rsidRPr="000D0AD5">
        <w:instrText xml:space="preserve"> INCLUDEPICTURE "https://drawcongress.org/wp-content/uploads/Screen-Shot-2022-04-01-at-9.08.55-PM.png" \* MERGEFORMATINET </w:instrText>
      </w:r>
      <w:r w:rsidRPr="000D0AD5">
        <w:fldChar w:fldCharType="separate"/>
      </w:r>
      <w:r w:rsidRPr="000D0AD5">
        <w:rPr>
          <w:noProof/>
        </w:rPr>
        <w:drawing>
          <wp:inline distT="0" distB="0" distL="0" distR="0" wp14:anchorId="2307F477" wp14:editId="4A81DF7B">
            <wp:extent cx="5943600" cy="2688590"/>
            <wp:effectExtent l="0" t="0" r="0" b="3810"/>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2688590"/>
                    </a:xfrm>
                    <a:prstGeom prst="rect">
                      <a:avLst/>
                    </a:prstGeom>
                    <a:noFill/>
                    <a:ln>
                      <a:noFill/>
                    </a:ln>
                  </pic:spPr>
                </pic:pic>
              </a:graphicData>
            </a:graphic>
          </wp:inline>
        </w:drawing>
      </w:r>
      <w:r w:rsidRPr="000D0AD5">
        <w:fldChar w:fldCharType="end"/>
      </w:r>
    </w:p>
    <w:p w14:paraId="06A4EA89" w14:textId="77777777" w:rsidR="000D0AD5" w:rsidRDefault="000D0AD5" w:rsidP="009A43CE">
      <w:pPr>
        <w:spacing w:line="480" w:lineRule="auto"/>
        <w:ind w:firstLine="720"/>
        <w:jc w:val="both"/>
        <w:rPr>
          <w:rFonts w:ascii="Times" w:hAnsi="Times"/>
        </w:rPr>
      </w:pPr>
    </w:p>
    <w:p w14:paraId="0EC848EC" w14:textId="16A6364B" w:rsidR="001276B0" w:rsidRDefault="00300299" w:rsidP="009A43CE">
      <w:pPr>
        <w:spacing w:line="480" w:lineRule="auto"/>
        <w:ind w:firstLine="720"/>
        <w:jc w:val="both"/>
        <w:rPr>
          <w:rFonts w:ascii="Times" w:hAnsi="Times"/>
        </w:rPr>
      </w:pPr>
      <w:r>
        <w:rPr>
          <w:rFonts w:ascii="Times" w:hAnsi="Times"/>
        </w:rPr>
        <w:lastRenderedPageBreak/>
        <w:t xml:space="preserve">Though close to equally balanced between Republican and Democratic seats, </w:t>
      </w:r>
      <w:r w:rsidR="009F10BE" w:rsidRPr="006E6E5D">
        <w:rPr>
          <w:rFonts w:ascii="Times" w:hAnsi="Times"/>
        </w:rPr>
        <w:t xml:space="preserve">Virginia is highly </w:t>
      </w:r>
      <w:r w:rsidR="00B25E0B">
        <w:rPr>
          <w:rFonts w:ascii="Times" w:hAnsi="Times"/>
        </w:rPr>
        <w:t xml:space="preserve">politically </w:t>
      </w:r>
      <w:r w:rsidR="009F10BE" w:rsidRPr="006E6E5D">
        <w:rPr>
          <w:rFonts w:ascii="Times" w:hAnsi="Times"/>
        </w:rPr>
        <w:t>segregated</w:t>
      </w:r>
      <w:r w:rsidR="00B25E0B">
        <w:rPr>
          <w:rFonts w:ascii="Times" w:hAnsi="Times"/>
        </w:rPr>
        <w:t xml:space="preserve">, </w:t>
      </w:r>
      <w:r w:rsidR="009F10BE" w:rsidRPr="006E6E5D">
        <w:rPr>
          <w:rFonts w:ascii="Times" w:hAnsi="Times"/>
        </w:rPr>
        <w:t xml:space="preserve">which presented some issues for this plan. The </w:t>
      </w:r>
      <w:r w:rsidR="003609B5" w:rsidRPr="006E6E5D">
        <w:rPr>
          <w:rFonts w:ascii="Times" w:hAnsi="Times"/>
        </w:rPr>
        <w:t>sparsely populated</w:t>
      </w:r>
      <w:r w:rsidR="00E726E8" w:rsidRPr="006E6E5D">
        <w:rPr>
          <w:rFonts w:ascii="Times" w:hAnsi="Times"/>
        </w:rPr>
        <w:t xml:space="preserve"> </w:t>
      </w:r>
      <w:r w:rsidR="009F10BE" w:rsidRPr="006E6E5D">
        <w:rPr>
          <w:rFonts w:ascii="Times" w:hAnsi="Times"/>
        </w:rPr>
        <w:t xml:space="preserve">Southern and Western regions of the state </w:t>
      </w:r>
      <w:r w:rsidR="00E726E8" w:rsidRPr="006E6E5D">
        <w:rPr>
          <w:rFonts w:ascii="Times" w:hAnsi="Times"/>
        </w:rPr>
        <w:t xml:space="preserve">consistently elect Republican representatives, while the Northern, population-dense regions consistently elect Democrats. Balancing efficiency gap </w:t>
      </w:r>
      <w:r w:rsidR="003F7B52" w:rsidRPr="006E6E5D">
        <w:rPr>
          <w:rFonts w:ascii="Times" w:hAnsi="Times"/>
        </w:rPr>
        <w:t>minimization</w:t>
      </w:r>
      <w:r w:rsidR="00E726E8" w:rsidRPr="006E6E5D">
        <w:rPr>
          <w:rFonts w:ascii="Times" w:hAnsi="Times"/>
        </w:rPr>
        <w:t xml:space="preserve"> and the need to create a certain number of “safe” seats meant joining broader swaths of the state than would usually be acceptable due to compactness and community of interest </w:t>
      </w:r>
      <w:r w:rsidR="003609B5" w:rsidRPr="006E6E5D">
        <w:rPr>
          <w:rFonts w:ascii="Times" w:hAnsi="Times"/>
        </w:rPr>
        <w:t>constraints</w:t>
      </w:r>
      <w:r w:rsidR="00E726E8" w:rsidRPr="006E6E5D">
        <w:rPr>
          <w:rFonts w:ascii="Times" w:hAnsi="Times"/>
        </w:rPr>
        <w:t>.</w:t>
      </w:r>
    </w:p>
    <w:p w14:paraId="6C8BA9AB" w14:textId="3701F8C8" w:rsidR="00143BC2" w:rsidRDefault="00143BC2" w:rsidP="00143BC2">
      <w:pPr>
        <w:spacing w:line="480" w:lineRule="auto"/>
        <w:rPr>
          <w:rFonts w:ascii="Times" w:hAnsi="Times"/>
          <w:b/>
          <w:bCs/>
        </w:rPr>
      </w:pPr>
      <w:r w:rsidRPr="00E82E16">
        <w:rPr>
          <w:rFonts w:ascii="Times" w:hAnsi="Times"/>
          <w:b/>
          <w:bCs/>
        </w:rPr>
        <w:t>Map Explanation</w:t>
      </w:r>
      <w:r w:rsidR="00787B7D">
        <w:rPr>
          <w:rFonts w:ascii="Times" w:hAnsi="Times"/>
          <w:b/>
          <w:bCs/>
        </w:rPr>
        <w:t xml:space="preserve"> and </w:t>
      </w:r>
      <w:r w:rsidRPr="00E82E16">
        <w:rPr>
          <w:rFonts w:ascii="Times" w:hAnsi="Times"/>
          <w:b/>
          <w:bCs/>
        </w:rPr>
        <w:t>Partisan Considerations</w:t>
      </w:r>
    </w:p>
    <w:p w14:paraId="61B1D703" w14:textId="4853F9B5" w:rsidR="007144D0" w:rsidRDefault="00203EC1" w:rsidP="00143BC2">
      <w:pPr>
        <w:spacing w:line="480" w:lineRule="auto"/>
        <w:rPr>
          <w:rFonts w:ascii="Times" w:hAnsi="Times"/>
          <w:u w:val="single"/>
        </w:rPr>
      </w:pPr>
      <w:r>
        <w:rPr>
          <w:rFonts w:ascii="Times" w:hAnsi="Times"/>
          <w:u w:val="single"/>
        </w:rPr>
        <w:t xml:space="preserve">Safe Democratic Seats in Northern Virginia: </w:t>
      </w:r>
      <w:r w:rsidR="0011014F" w:rsidRPr="0011014F">
        <w:rPr>
          <w:rFonts w:ascii="Times" w:hAnsi="Times"/>
          <w:u w:val="single"/>
        </w:rPr>
        <w:t>8</w:t>
      </w:r>
      <w:r w:rsidR="0011014F" w:rsidRPr="0011014F">
        <w:rPr>
          <w:rFonts w:ascii="Times" w:hAnsi="Times"/>
          <w:u w:val="single"/>
          <w:vertAlign w:val="superscript"/>
        </w:rPr>
        <w:t>th</w:t>
      </w:r>
      <w:r w:rsidR="0011014F" w:rsidRPr="0011014F">
        <w:rPr>
          <w:rFonts w:ascii="Times" w:hAnsi="Times"/>
          <w:u w:val="single"/>
        </w:rPr>
        <w:t>, 10</w:t>
      </w:r>
      <w:r w:rsidR="0011014F" w:rsidRPr="0011014F">
        <w:rPr>
          <w:rFonts w:ascii="Times" w:hAnsi="Times"/>
          <w:u w:val="single"/>
          <w:vertAlign w:val="superscript"/>
        </w:rPr>
        <w:t>th</w:t>
      </w:r>
      <w:r w:rsidR="0011014F" w:rsidRPr="0011014F">
        <w:rPr>
          <w:rFonts w:ascii="Times" w:hAnsi="Times"/>
          <w:u w:val="single"/>
        </w:rPr>
        <w:t>, and 11</w:t>
      </w:r>
      <w:r w:rsidR="0011014F" w:rsidRPr="0011014F">
        <w:rPr>
          <w:rFonts w:ascii="Times" w:hAnsi="Times"/>
          <w:u w:val="single"/>
          <w:vertAlign w:val="superscript"/>
        </w:rPr>
        <w:t>TH</w:t>
      </w:r>
      <w:r w:rsidR="0011014F" w:rsidRPr="0011014F">
        <w:rPr>
          <w:rFonts w:ascii="Times" w:hAnsi="Times"/>
          <w:u w:val="single"/>
        </w:rPr>
        <w:t xml:space="preserve"> Districts</w:t>
      </w:r>
    </w:p>
    <w:p w14:paraId="7289D932" w14:textId="0A957747" w:rsidR="00CE2852" w:rsidRPr="00CE2852" w:rsidRDefault="00F4261D" w:rsidP="004551F9">
      <w:pPr>
        <w:rPr>
          <w:rFonts w:ascii="Times" w:hAnsi="Times"/>
          <w:i/>
          <w:iCs/>
        </w:rPr>
      </w:pPr>
      <w:r>
        <w:rPr>
          <w:noProof/>
        </w:rPr>
        <w:drawing>
          <wp:anchor distT="0" distB="0" distL="114300" distR="114300" simplePos="0" relativeHeight="251700224" behindDoc="0" locked="0" layoutInCell="1" allowOverlap="1" wp14:anchorId="070145FB" wp14:editId="22998B1F">
            <wp:simplePos x="0" y="0"/>
            <wp:positionH relativeFrom="column">
              <wp:posOffset>3852333</wp:posOffset>
            </wp:positionH>
            <wp:positionV relativeFrom="paragraph">
              <wp:posOffset>488950</wp:posOffset>
            </wp:positionV>
            <wp:extent cx="2868295" cy="3386455"/>
            <wp:effectExtent l="0" t="0" r="1905" b="4445"/>
            <wp:wrapTopAndBottom/>
            <wp:docPr id="57" name="Picture 5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68295" cy="3386455"/>
                    </a:xfrm>
                    <a:prstGeom prst="rect">
                      <a:avLst/>
                    </a:prstGeom>
                    <a:noFill/>
                    <a:ln>
                      <a:noFill/>
                    </a:ln>
                  </pic:spPr>
                </pic:pic>
              </a:graphicData>
            </a:graphic>
            <wp14:sizeRelH relativeFrom="page">
              <wp14:pctWidth>0</wp14:pctWidth>
            </wp14:sizeRelH>
            <wp14:sizeRelV relativeFrom="page">
              <wp14:pctHeight>0</wp14:pctHeight>
            </wp14:sizeRelV>
          </wp:anchor>
        </w:drawing>
      </w:r>
      <w:r w:rsidR="00122B36">
        <w:rPr>
          <w:rFonts w:ascii="Times" w:hAnsi="Times"/>
          <w:i/>
          <w:iCs/>
        </w:rPr>
        <w:t xml:space="preserve">Northern Virginia </w:t>
      </w:r>
      <w:r w:rsidR="00830ECA">
        <w:rPr>
          <w:rFonts w:ascii="Times" w:hAnsi="Times"/>
          <w:i/>
          <w:iCs/>
        </w:rPr>
        <w:t>d</w:t>
      </w:r>
      <w:r w:rsidR="00122B36">
        <w:rPr>
          <w:rFonts w:ascii="Times" w:hAnsi="Times"/>
          <w:i/>
          <w:iCs/>
        </w:rPr>
        <w:t>istricts with VTDs</w:t>
      </w:r>
      <w:r w:rsidR="00830ECA">
        <w:rPr>
          <w:rFonts w:ascii="Times" w:hAnsi="Times"/>
          <w:i/>
          <w:iCs/>
        </w:rPr>
        <w:t xml:space="preserve"> s</w:t>
      </w:r>
      <w:r w:rsidR="00122B36">
        <w:rPr>
          <w:rFonts w:ascii="Times" w:hAnsi="Times"/>
          <w:i/>
          <w:iCs/>
        </w:rPr>
        <w:t xml:space="preserve">haded by </w:t>
      </w:r>
      <w:r w:rsidR="00830ECA">
        <w:rPr>
          <w:rFonts w:ascii="Times" w:hAnsi="Times"/>
          <w:i/>
          <w:iCs/>
        </w:rPr>
        <w:t>p</w:t>
      </w:r>
      <w:r w:rsidR="00122B36">
        <w:rPr>
          <w:rFonts w:ascii="Times" w:hAnsi="Times"/>
          <w:i/>
          <w:iCs/>
        </w:rPr>
        <w:t>artisanship (</w:t>
      </w:r>
      <w:r w:rsidR="00830ECA">
        <w:rPr>
          <w:rFonts w:ascii="Times" w:hAnsi="Times"/>
          <w:i/>
          <w:iCs/>
        </w:rPr>
        <w:t>d</w:t>
      </w:r>
      <w:r w:rsidR="00122B36">
        <w:rPr>
          <w:rFonts w:ascii="Times" w:hAnsi="Times"/>
          <w:i/>
          <w:iCs/>
        </w:rPr>
        <w:t xml:space="preserve">eeper </w:t>
      </w:r>
      <w:r w:rsidR="00830ECA">
        <w:rPr>
          <w:rFonts w:ascii="Times" w:hAnsi="Times"/>
          <w:i/>
          <w:iCs/>
        </w:rPr>
        <w:t>b</w:t>
      </w:r>
      <w:r w:rsidR="00122B36">
        <w:rPr>
          <w:rFonts w:ascii="Times" w:hAnsi="Times"/>
          <w:i/>
          <w:iCs/>
        </w:rPr>
        <w:t xml:space="preserve">lue is </w:t>
      </w:r>
      <w:r w:rsidR="00830ECA">
        <w:rPr>
          <w:rFonts w:ascii="Times" w:hAnsi="Times"/>
          <w:i/>
          <w:iCs/>
        </w:rPr>
        <w:t>greater 2020</w:t>
      </w:r>
      <w:r w:rsidR="00122B36">
        <w:rPr>
          <w:rFonts w:ascii="Times" w:hAnsi="Times"/>
          <w:i/>
          <w:iCs/>
        </w:rPr>
        <w:t xml:space="preserve"> Democratic</w:t>
      </w:r>
      <w:r w:rsidR="00830ECA">
        <w:rPr>
          <w:rFonts w:ascii="Times" w:hAnsi="Times"/>
          <w:i/>
          <w:iCs/>
        </w:rPr>
        <w:t xml:space="preserve"> vote share, deeper red is greater Republican)</w:t>
      </w:r>
    </w:p>
    <w:p w14:paraId="65288056" w14:textId="4CBD05D4" w:rsidR="00022BD5" w:rsidRPr="00022BD5" w:rsidRDefault="00110F7F" w:rsidP="00022BD5">
      <w:r w:rsidRPr="00022BD5">
        <w:rPr>
          <w:noProof/>
        </w:rPr>
        <w:drawing>
          <wp:anchor distT="0" distB="0" distL="114300" distR="114300" simplePos="0" relativeHeight="251661312" behindDoc="1" locked="0" layoutInCell="1" allowOverlap="1" wp14:anchorId="71E123D4" wp14:editId="3788970E">
            <wp:simplePos x="0" y="0"/>
            <wp:positionH relativeFrom="column">
              <wp:posOffset>-194945</wp:posOffset>
            </wp:positionH>
            <wp:positionV relativeFrom="paragraph">
              <wp:posOffset>5715</wp:posOffset>
            </wp:positionV>
            <wp:extent cx="3947795" cy="3521710"/>
            <wp:effectExtent l="0" t="0" r="1905" b="0"/>
            <wp:wrapTight wrapText="bothSides">
              <wp:wrapPolygon edited="0">
                <wp:start x="0" y="0"/>
                <wp:lineTo x="0" y="21499"/>
                <wp:lineTo x="21541" y="21499"/>
                <wp:lineTo x="21541" y="0"/>
                <wp:lineTo x="0" y="0"/>
              </wp:wrapPolygon>
            </wp:wrapTight>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47795" cy="3521710"/>
                    </a:xfrm>
                    <a:prstGeom prst="rect">
                      <a:avLst/>
                    </a:prstGeom>
                    <a:noFill/>
                    <a:ln>
                      <a:noFill/>
                    </a:ln>
                  </pic:spPr>
                </pic:pic>
              </a:graphicData>
            </a:graphic>
            <wp14:sizeRelH relativeFrom="page">
              <wp14:pctWidth>0</wp14:pctWidth>
            </wp14:sizeRelH>
            <wp14:sizeRelV relativeFrom="page">
              <wp14:pctHeight>0</wp14:pctHeight>
            </wp14:sizeRelV>
          </wp:anchor>
        </w:drawing>
      </w:r>
      <w:r w:rsidR="00022BD5" w:rsidRPr="00022BD5">
        <w:fldChar w:fldCharType="begin"/>
      </w:r>
      <w:r w:rsidR="00022BD5" w:rsidRPr="00022BD5">
        <w:instrText xml:space="preserve"> INCLUDEPICTURE "https://drawcongress.org/wp-content/uploads/Screen-Shot-2022-04-01-at-9.09.39-PM.png" \* MERGEFORMATINET </w:instrText>
      </w:r>
      <w:r w:rsidR="00022BD5" w:rsidRPr="00022BD5">
        <w:fldChar w:fldCharType="separate"/>
      </w:r>
      <w:r w:rsidR="00022BD5" w:rsidRPr="00022BD5">
        <w:fldChar w:fldCharType="end"/>
      </w:r>
    </w:p>
    <w:p w14:paraId="3924E96B" w14:textId="5E83256A" w:rsidR="00022BD5" w:rsidRPr="0011014F" w:rsidRDefault="00022BD5" w:rsidP="00143BC2">
      <w:pPr>
        <w:spacing w:line="480" w:lineRule="auto"/>
        <w:rPr>
          <w:rFonts w:ascii="Times" w:hAnsi="Times"/>
          <w:u w:val="single"/>
        </w:rPr>
      </w:pPr>
    </w:p>
    <w:p w14:paraId="1E115A7D" w14:textId="77777777" w:rsidR="00110F7F" w:rsidRDefault="0011014F" w:rsidP="008C01E9">
      <w:pPr>
        <w:spacing w:line="480" w:lineRule="auto"/>
        <w:rPr>
          <w:rFonts w:ascii="Times" w:hAnsi="Times"/>
        </w:rPr>
      </w:pPr>
      <w:r>
        <w:rPr>
          <w:rFonts w:ascii="Times" w:hAnsi="Times"/>
        </w:rPr>
        <w:tab/>
      </w:r>
    </w:p>
    <w:p w14:paraId="308C7B50" w14:textId="77777777" w:rsidR="00110F7F" w:rsidRDefault="00110F7F" w:rsidP="008C01E9">
      <w:pPr>
        <w:spacing w:line="480" w:lineRule="auto"/>
        <w:rPr>
          <w:rFonts w:ascii="Times" w:hAnsi="Times"/>
        </w:rPr>
      </w:pPr>
    </w:p>
    <w:p w14:paraId="38F8AFED" w14:textId="27E81770" w:rsidR="00110F7F" w:rsidRDefault="008C40F0" w:rsidP="008C01E9">
      <w:pPr>
        <w:spacing w:line="480" w:lineRule="auto"/>
        <w:rPr>
          <w:rFonts w:ascii="Times" w:hAnsi="Times"/>
        </w:rPr>
      </w:pPr>
      <w:r>
        <w:rPr>
          <w:rFonts w:ascii="Times" w:hAnsi="Times"/>
          <w:noProof/>
        </w:rPr>
        <w:lastRenderedPageBreak/>
        <w:drawing>
          <wp:anchor distT="0" distB="0" distL="114300" distR="114300" simplePos="0" relativeHeight="251660287" behindDoc="0" locked="0" layoutInCell="1" allowOverlap="1" wp14:anchorId="549E180C" wp14:editId="03930726">
            <wp:simplePos x="0" y="0"/>
            <wp:positionH relativeFrom="column">
              <wp:posOffset>3284855</wp:posOffset>
            </wp:positionH>
            <wp:positionV relativeFrom="paragraph">
              <wp:posOffset>0</wp:posOffset>
            </wp:positionV>
            <wp:extent cx="2564765" cy="4182110"/>
            <wp:effectExtent l="0" t="0" r="635" b="0"/>
            <wp:wrapTopAndBottom/>
            <wp:docPr id="59" name="Pictur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Map&#10;&#10;Description automatically generated"/>
                    <pic:cNvPicPr/>
                  </pic:nvPicPr>
                  <pic:blipFill rotWithShape="1">
                    <a:blip r:embed="rId49" cstate="print">
                      <a:extLst>
                        <a:ext uri="{28A0092B-C50C-407E-A947-70E740481C1C}">
                          <a14:useLocalDpi xmlns:a14="http://schemas.microsoft.com/office/drawing/2010/main" val="0"/>
                        </a:ext>
                      </a:extLst>
                    </a:blip>
                    <a:srcRect t="1" b="2115"/>
                    <a:stretch/>
                  </pic:blipFill>
                  <pic:spPr bwMode="auto">
                    <a:xfrm>
                      <a:off x="0" y="0"/>
                      <a:ext cx="2564765" cy="4182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w:hAnsi="Times"/>
          <w:noProof/>
        </w:rPr>
        <w:drawing>
          <wp:anchor distT="0" distB="0" distL="114300" distR="114300" simplePos="0" relativeHeight="251704320" behindDoc="0" locked="0" layoutInCell="1" allowOverlap="1" wp14:anchorId="00984F0C" wp14:editId="03DEA0CC">
            <wp:simplePos x="0" y="0"/>
            <wp:positionH relativeFrom="column">
              <wp:posOffset>-465455</wp:posOffset>
            </wp:positionH>
            <wp:positionV relativeFrom="paragraph">
              <wp:posOffset>139065</wp:posOffset>
            </wp:positionV>
            <wp:extent cx="3166110" cy="3867150"/>
            <wp:effectExtent l="0" t="0" r="0" b="6350"/>
            <wp:wrapTopAndBottom/>
            <wp:docPr id="62" name="Picture 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Map&#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66110" cy="3867150"/>
                    </a:xfrm>
                    <a:prstGeom prst="rect">
                      <a:avLst/>
                    </a:prstGeom>
                  </pic:spPr>
                </pic:pic>
              </a:graphicData>
            </a:graphic>
            <wp14:sizeRelH relativeFrom="page">
              <wp14:pctWidth>0</wp14:pctWidth>
            </wp14:sizeRelH>
            <wp14:sizeRelV relativeFrom="page">
              <wp14:pctHeight>0</wp14:pctHeight>
            </wp14:sizeRelV>
          </wp:anchor>
        </w:drawing>
      </w:r>
    </w:p>
    <w:p w14:paraId="0B05A6E7" w14:textId="313E4481" w:rsidR="00110F7F" w:rsidRDefault="00110F7F" w:rsidP="008C01E9">
      <w:pPr>
        <w:spacing w:line="480" w:lineRule="auto"/>
        <w:rPr>
          <w:rFonts w:ascii="Times" w:hAnsi="Times"/>
        </w:rPr>
      </w:pPr>
    </w:p>
    <w:p w14:paraId="2FA2E81B" w14:textId="3CD6CC99" w:rsidR="00110F7F" w:rsidRDefault="008C40F0" w:rsidP="008C01E9">
      <w:pPr>
        <w:spacing w:line="480" w:lineRule="auto"/>
        <w:rPr>
          <w:rFonts w:ascii="Times" w:hAnsi="Times"/>
        </w:rPr>
      </w:pPr>
      <w:r>
        <w:rPr>
          <w:rFonts w:ascii="Times" w:hAnsi="Times"/>
          <w:noProof/>
        </w:rPr>
        <w:lastRenderedPageBreak/>
        <w:drawing>
          <wp:anchor distT="0" distB="0" distL="114300" distR="114300" simplePos="0" relativeHeight="251701248" behindDoc="0" locked="0" layoutInCell="1" allowOverlap="1" wp14:anchorId="31A02001" wp14:editId="3F3B16D3">
            <wp:simplePos x="0" y="0"/>
            <wp:positionH relativeFrom="column">
              <wp:posOffset>2877820</wp:posOffset>
            </wp:positionH>
            <wp:positionV relativeFrom="paragraph">
              <wp:posOffset>673100</wp:posOffset>
            </wp:positionV>
            <wp:extent cx="3401274" cy="3420533"/>
            <wp:effectExtent l="0" t="0" r="2540" b="0"/>
            <wp:wrapTopAndBottom/>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401274" cy="3420533"/>
                    </a:xfrm>
                    <a:prstGeom prst="rect">
                      <a:avLst/>
                    </a:prstGeom>
                  </pic:spPr>
                </pic:pic>
              </a:graphicData>
            </a:graphic>
            <wp14:sizeRelH relativeFrom="page">
              <wp14:pctWidth>0</wp14:pctWidth>
            </wp14:sizeRelH>
            <wp14:sizeRelV relativeFrom="page">
              <wp14:pctHeight>0</wp14:pctHeight>
            </wp14:sizeRelV>
          </wp:anchor>
        </w:drawing>
      </w:r>
      <w:r>
        <w:rPr>
          <w:rFonts w:ascii="Times" w:hAnsi="Times"/>
          <w:noProof/>
        </w:rPr>
        <w:drawing>
          <wp:anchor distT="0" distB="0" distL="114300" distR="114300" simplePos="0" relativeHeight="251703296" behindDoc="0" locked="0" layoutInCell="1" allowOverlap="1" wp14:anchorId="57C040BB" wp14:editId="3470D83A">
            <wp:simplePos x="0" y="0"/>
            <wp:positionH relativeFrom="column">
              <wp:posOffset>-255694</wp:posOffset>
            </wp:positionH>
            <wp:positionV relativeFrom="paragraph">
              <wp:posOffset>330624</wp:posOffset>
            </wp:positionV>
            <wp:extent cx="2719705" cy="3766820"/>
            <wp:effectExtent l="0" t="0" r="0" b="5080"/>
            <wp:wrapTopAndBottom/>
            <wp:docPr id="61" name="Picture 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19705" cy="3766820"/>
                    </a:xfrm>
                    <a:prstGeom prst="rect">
                      <a:avLst/>
                    </a:prstGeom>
                  </pic:spPr>
                </pic:pic>
              </a:graphicData>
            </a:graphic>
            <wp14:sizeRelH relativeFrom="page">
              <wp14:pctWidth>0</wp14:pctWidth>
            </wp14:sizeRelH>
            <wp14:sizeRelV relativeFrom="page">
              <wp14:pctHeight>0</wp14:pctHeight>
            </wp14:sizeRelV>
          </wp:anchor>
        </w:drawing>
      </w:r>
    </w:p>
    <w:p w14:paraId="32833880" w14:textId="24031E4A" w:rsidR="00110F7F" w:rsidRDefault="00110F7F" w:rsidP="008C01E9">
      <w:pPr>
        <w:spacing w:line="480" w:lineRule="auto"/>
        <w:rPr>
          <w:rFonts w:ascii="Times" w:hAnsi="Times"/>
        </w:rPr>
      </w:pPr>
    </w:p>
    <w:p w14:paraId="07268879" w14:textId="7EA7800A" w:rsidR="00110F7F" w:rsidRDefault="00110F7F" w:rsidP="008C01E9">
      <w:pPr>
        <w:spacing w:line="480" w:lineRule="auto"/>
        <w:rPr>
          <w:rFonts w:ascii="Times" w:hAnsi="Times"/>
        </w:rPr>
      </w:pPr>
    </w:p>
    <w:p w14:paraId="69AE98A4" w14:textId="3E808DAD" w:rsidR="00976041" w:rsidRDefault="0011014F" w:rsidP="008C40F0">
      <w:pPr>
        <w:spacing w:line="480" w:lineRule="auto"/>
        <w:ind w:firstLine="720"/>
      </w:pPr>
      <w:r>
        <w:rPr>
          <w:rFonts w:ascii="Times" w:hAnsi="Times"/>
        </w:rPr>
        <w:t xml:space="preserve">These districts </w:t>
      </w:r>
      <w:r w:rsidR="00146441">
        <w:rPr>
          <w:rFonts w:ascii="Times" w:hAnsi="Times"/>
        </w:rPr>
        <w:t xml:space="preserve">were relatively </w:t>
      </w:r>
      <w:r w:rsidR="00B01D3F">
        <w:rPr>
          <w:rFonts w:ascii="Times" w:hAnsi="Times"/>
        </w:rPr>
        <w:t>straightforward</w:t>
      </w:r>
      <w:r w:rsidR="00146441">
        <w:rPr>
          <w:rFonts w:ascii="Times" w:hAnsi="Times"/>
        </w:rPr>
        <w:t xml:space="preserve"> to dr</w:t>
      </w:r>
      <w:r w:rsidR="008C01E9">
        <w:rPr>
          <w:rFonts w:ascii="Times" w:hAnsi="Times"/>
        </w:rPr>
        <w:t>a</w:t>
      </w:r>
      <w:r w:rsidR="00146441">
        <w:rPr>
          <w:rFonts w:ascii="Times" w:hAnsi="Times"/>
        </w:rPr>
        <w:t xml:space="preserve">w </w:t>
      </w:r>
      <w:r>
        <w:rPr>
          <w:rFonts w:ascii="Times" w:hAnsi="Times"/>
        </w:rPr>
        <w:t>as they make up the most populous and most Democratic</w:t>
      </w:r>
      <w:r w:rsidR="00C9154D">
        <w:rPr>
          <w:rFonts w:ascii="Times" w:hAnsi="Times"/>
        </w:rPr>
        <w:t xml:space="preserve"> </w:t>
      </w:r>
      <w:r w:rsidR="00146441">
        <w:rPr>
          <w:rFonts w:ascii="Times" w:hAnsi="Times"/>
        </w:rPr>
        <w:t>districts within</w:t>
      </w:r>
      <w:r w:rsidR="008C01E9">
        <w:rPr>
          <w:rFonts w:ascii="Times" w:hAnsi="Times"/>
        </w:rPr>
        <w:t xml:space="preserve"> </w:t>
      </w:r>
      <w:r w:rsidR="00976041">
        <w:rPr>
          <w:rFonts w:ascii="Times" w:hAnsi="Times"/>
        </w:rPr>
        <w:t>the state. The 10</w:t>
      </w:r>
      <w:r w:rsidR="00976041" w:rsidRPr="00976041">
        <w:rPr>
          <w:rFonts w:ascii="Times" w:hAnsi="Times"/>
          <w:vertAlign w:val="superscript"/>
        </w:rPr>
        <w:t>th</w:t>
      </w:r>
      <w:r w:rsidR="00976041">
        <w:rPr>
          <w:rFonts w:ascii="Times" w:hAnsi="Times"/>
        </w:rPr>
        <w:t xml:space="preserve"> District is the</w:t>
      </w:r>
      <w:r w:rsidR="00976041">
        <w:t xml:space="preserve"> state’s </w:t>
      </w:r>
      <w:r w:rsidR="008C01E9" w:rsidRPr="008C01E9">
        <w:t>median district</w:t>
      </w:r>
      <w:r w:rsidR="00976041">
        <w:t xml:space="preserve"> for Democratic vote share </w:t>
      </w:r>
      <w:r w:rsidR="008E658F">
        <w:t xml:space="preserve">between </w:t>
      </w:r>
      <w:r w:rsidR="00976041">
        <w:t>2016-2020</w:t>
      </w:r>
      <w:r w:rsidR="008C01E9" w:rsidRPr="008C01E9">
        <w:t>,</w:t>
      </w:r>
      <w:r w:rsidR="00976041">
        <w:t xml:space="preserve"> but nonetheless </w:t>
      </w:r>
      <w:r w:rsidR="008C01E9" w:rsidRPr="008C01E9">
        <w:t>went for Democrats</w:t>
      </w:r>
      <w:r w:rsidR="00976041">
        <w:t xml:space="preserve"> in that period</w:t>
      </w:r>
      <w:r w:rsidR="008C01E9" w:rsidRPr="008C01E9">
        <w:t xml:space="preserve"> by</w:t>
      </w:r>
      <w:r w:rsidR="00976041">
        <w:t xml:space="preserve"> an average of</w:t>
      </w:r>
      <w:r w:rsidR="008C01E9" w:rsidRPr="008C01E9">
        <w:t xml:space="preserve"> seven</w:t>
      </w:r>
      <w:r w:rsidR="00976041">
        <w:t xml:space="preserve"> </w:t>
      </w:r>
      <w:r w:rsidR="008C01E9" w:rsidRPr="008C01E9">
        <w:t>poin</w:t>
      </w:r>
      <w:r w:rsidR="00976041">
        <w:t>ts. As such, I was able to draw these districts</w:t>
      </w:r>
      <w:r w:rsidR="00631114">
        <w:t xml:space="preserve"> controlling only for equal population constraints.</w:t>
      </w:r>
      <w:r w:rsidR="004F0D84">
        <w:t xml:space="preserve"> </w:t>
      </w:r>
      <w:r w:rsidR="00786F63">
        <w:t>As they are currently drawn, all three districts would provide well over 55% of vote share to a Democratic candidate</w:t>
      </w:r>
      <w:r w:rsidR="009B32EB">
        <w:t xml:space="preserve"> in 2020 or 2016. </w:t>
      </w:r>
      <w:r w:rsidR="004F0D84">
        <w:t>Plan Score deems all safe Democratic seats with a 97+ % likelihood a Democrat would win each seat.</w:t>
      </w:r>
    </w:p>
    <w:p w14:paraId="5EB3EB7A" w14:textId="77777777" w:rsidR="00766356" w:rsidRDefault="00766356" w:rsidP="004551F9">
      <w:pPr>
        <w:spacing w:line="480" w:lineRule="auto"/>
        <w:rPr>
          <w:u w:val="single"/>
        </w:rPr>
      </w:pPr>
    </w:p>
    <w:p w14:paraId="196D30DA" w14:textId="77777777" w:rsidR="00766356" w:rsidRDefault="00766356" w:rsidP="004551F9">
      <w:pPr>
        <w:spacing w:line="480" w:lineRule="auto"/>
        <w:rPr>
          <w:u w:val="single"/>
        </w:rPr>
      </w:pPr>
    </w:p>
    <w:p w14:paraId="1DF65DA9" w14:textId="77777777" w:rsidR="00766356" w:rsidRDefault="00766356" w:rsidP="004551F9">
      <w:pPr>
        <w:spacing w:line="480" w:lineRule="auto"/>
        <w:rPr>
          <w:u w:val="single"/>
        </w:rPr>
      </w:pPr>
    </w:p>
    <w:p w14:paraId="3362D213" w14:textId="6179E789" w:rsidR="00766356" w:rsidRDefault="00766356" w:rsidP="00766356">
      <w:pPr>
        <w:spacing w:line="480" w:lineRule="auto"/>
        <w:rPr>
          <w:u w:val="single"/>
        </w:rPr>
      </w:pPr>
      <w:r>
        <w:rPr>
          <w:noProof/>
          <w:u w:val="single"/>
        </w:rPr>
        <w:lastRenderedPageBreak/>
        <w:drawing>
          <wp:anchor distT="0" distB="0" distL="114300" distR="114300" simplePos="0" relativeHeight="251708416" behindDoc="1" locked="0" layoutInCell="1" allowOverlap="1" wp14:anchorId="04BC6DB2" wp14:editId="2445D662">
            <wp:simplePos x="0" y="0"/>
            <wp:positionH relativeFrom="column">
              <wp:posOffset>871220</wp:posOffset>
            </wp:positionH>
            <wp:positionV relativeFrom="paragraph">
              <wp:posOffset>218864</wp:posOffset>
            </wp:positionV>
            <wp:extent cx="4351867" cy="2840802"/>
            <wp:effectExtent l="0" t="0" r="4445" b="4445"/>
            <wp:wrapTight wrapText="bothSides">
              <wp:wrapPolygon edited="0">
                <wp:start x="0" y="0"/>
                <wp:lineTo x="0" y="21537"/>
                <wp:lineTo x="21559" y="21537"/>
                <wp:lineTo x="21559" y="0"/>
                <wp:lineTo x="0" y="0"/>
              </wp:wrapPolygon>
            </wp:wrapTight>
            <wp:docPr id="64" name="Picture 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Map&#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351867" cy="2840802"/>
                    </a:xfrm>
                    <a:prstGeom prst="rect">
                      <a:avLst/>
                    </a:prstGeom>
                  </pic:spPr>
                </pic:pic>
              </a:graphicData>
            </a:graphic>
            <wp14:sizeRelH relativeFrom="page">
              <wp14:pctWidth>0</wp14:pctWidth>
            </wp14:sizeRelH>
            <wp14:sizeRelV relativeFrom="page">
              <wp14:pctHeight>0</wp14:pctHeight>
            </wp14:sizeRelV>
          </wp:anchor>
        </w:drawing>
      </w:r>
      <w:r w:rsidR="00E60EAD">
        <w:rPr>
          <w:u w:val="single"/>
        </w:rPr>
        <w:t>Safe Republican Seat</w:t>
      </w:r>
      <w:r w:rsidR="000D0AD5">
        <w:rPr>
          <w:u w:val="single"/>
        </w:rPr>
        <w:t xml:space="preserve">s in </w:t>
      </w:r>
      <w:r w:rsidR="00110F7F">
        <w:rPr>
          <w:u w:val="single"/>
        </w:rPr>
        <w:t>South and Southwest Virginia</w:t>
      </w:r>
      <w:r w:rsidR="000D0AD5">
        <w:rPr>
          <w:u w:val="single"/>
        </w:rPr>
        <w:t xml:space="preserve">: </w:t>
      </w:r>
      <w:r w:rsidR="00203EC1">
        <w:rPr>
          <w:u w:val="single"/>
        </w:rPr>
        <w:t>5</w:t>
      </w:r>
      <w:r w:rsidR="008E658F" w:rsidRPr="00203EC1">
        <w:rPr>
          <w:u w:val="single"/>
          <w:vertAlign w:val="superscript"/>
        </w:rPr>
        <w:t>th</w:t>
      </w:r>
      <w:r w:rsidR="008E658F">
        <w:rPr>
          <w:u w:val="single"/>
        </w:rPr>
        <w:t xml:space="preserve">, </w:t>
      </w:r>
      <w:r w:rsidR="008744F7">
        <w:rPr>
          <w:u w:val="single"/>
        </w:rPr>
        <w:t>6</w:t>
      </w:r>
      <w:r w:rsidR="008744F7" w:rsidRPr="008744F7">
        <w:rPr>
          <w:u w:val="single"/>
          <w:vertAlign w:val="superscript"/>
        </w:rPr>
        <w:t>th</w:t>
      </w:r>
      <w:r w:rsidR="008744F7">
        <w:rPr>
          <w:u w:val="single"/>
        </w:rPr>
        <w:t>,</w:t>
      </w:r>
      <w:r w:rsidR="00110F7F">
        <w:rPr>
          <w:u w:val="single"/>
        </w:rPr>
        <w:t xml:space="preserve"> and </w:t>
      </w:r>
      <w:r w:rsidR="00203EC1">
        <w:rPr>
          <w:u w:val="single"/>
        </w:rPr>
        <w:t>9</w:t>
      </w:r>
      <w:r w:rsidR="00203EC1" w:rsidRPr="00203EC1">
        <w:rPr>
          <w:u w:val="single"/>
          <w:vertAlign w:val="superscript"/>
        </w:rPr>
        <w:t>th</w:t>
      </w:r>
      <w:r w:rsidR="00203EC1">
        <w:rPr>
          <w:u w:val="single"/>
        </w:rPr>
        <w:t xml:space="preserve"> Districts</w:t>
      </w:r>
    </w:p>
    <w:p w14:paraId="5084D36B" w14:textId="29E8C27C" w:rsidR="00766356" w:rsidRDefault="00766356" w:rsidP="00766356">
      <w:pPr>
        <w:spacing w:line="480" w:lineRule="auto"/>
        <w:rPr>
          <w:u w:val="single"/>
        </w:rPr>
      </w:pPr>
    </w:p>
    <w:p w14:paraId="319A7453" w14:textId="2371822D" w:rsidR="00766356" w:rsidRPr="00766356" w:rsidRDefault="00766356" w:rsidP="00766356">
      <w:pPr>
        <w:spacing w:line="480" w:lineRule="auto"/>
        <w:rPr>
          <w:u w:val="single"/>
        </w:rPr>
      </w:pPr>
      <w:r>
        <w:rPr>
          <w:rFonts w:ascii="Times" w:hAnsi="Times"/>
          <w:i/>
          <w:iCs/>
          <w:noProof/>
        </w:rPr>
        <w:drawing>
          <wp:anchor distT="0" distB="0" distL="114300" distR="114300" simplePos="0" relativeHeight="251709440" behindDoc="1" locked="0" layoutInCell="1" allowOverlap="1" wp14:anchorId="57B37F4B" wp14:editId="64E17BC9">
            <wp:simplePos x="0" y="0"/>
            <wp:positionH relativeFrom="column">
              <wp:posOffset>1608455</wp:posOffset>
            </wp:positionH>
            <wp:positionV relativeFrom="paragraph">
              <wp:posOffset>2075180</wp:posOffset>
            </wp:positionV>
            <wp:extent cx="3302000" cy="3006090"/>
            <wp:effectExtent l="0" t="0" r="0" b="3810"/>
            <wp:wrapTopAndBottom/>
            <wp:docPr id="63" name="Picture 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02000" cy="3006090"/>
                    </a:xfrm>
                    <a:prstGeom prst="rect">
                      <a:avLst/>
                    </a:prstGeom>
                  </pic:spPr>
                </pic:pic>
              </a:graphicData>
            </a:graphic>
            <wp14:sizeRelH relativeFrom="page">
              <wp14:pctWidth>0</wp14:pctWidth>
            </wp14:sizeRelH>
            <wp14:sizeRelV relativeFrom="page">
              <wp14:pctHeight>0</wp14:pctHeight>
            </wp14:sizeRelV>
          </wp:anchor>
        </w:drawing>
      </w:r>
      <w:r>
        <w:rPr>
          <w:rFonts w:ascii="Times" w:hAnsi="Times"/>
          <w:noProof/>
        </w:rPr>
        <w:drawing>
          <wp:anchor distT="0" distB="0" distL="114300" distR="114300" simplePos="0" relativeHeight="251707392" behindDoc="0" locked="0" layoutInCell="1" allowOverlap="1" wp14:anchorId="44CC05CE" wp14:editId="52355692">
            <wp:simplePos x="0" y="0"/>
            <wp:positionH relativeFrom="column">
              <wp:posOffset>117899</wp:posOffset>
            </wp:positionH>
            <wp:positionV relativeFrom="paragraph">
              <wp:posOffset>5185833</wp:posOffset>
            </wp:positionV>
            <wp:extent cx="5105400" cy="2339975"/>
            <wp:effectExtent l="0" t="0" r="0" b="0"/>
            <wp:wrapTopAndBottom/>
            <wp:docPr id="60" name="Picture 6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Map&#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105400" cy="2339975"/>
                    </a:xfrm>
                    <a:prstGeom prst="rect">
                      <a:avLst/>
                    </a:prstGeom>
                  </pic:spPr>
                </pic:pic>
              </a:graphicData>
            </a:graphic>
            <wp14:sizeRelH relativeFrom="page">
              <wp14:pctWidth>0</wp14:pctWidth>
            </wp14:sizeRelH>
            <wp14:sizeRelV relativeFrom="page">
              <wp14:pctHeight>0</wp14:pctHeight>
            </wp14:sizeRelV>
          </wp:anchor>
        </w:drawing>
      </w:r>
    </w:p>
    <w:p w14:paraId="1E586E92" w14:textId="7B6C11A7" w:rsidR="001C4CA6" w:rsidRPr="00CE2852" w:rsidRDefault="001C4CA6" w:rsidP="004551F9">
      <w:pPr>
        <w:rPr>
          <w:rFonts w:ascii="Times" w:hAnsi="Times"/>
          <w:i/>
          <w:iCs/>
        </w:rPr>
      </w:pPr>
      <w:r>
        <w:rPr>
          <w:rFonts w:ascii="Times" w:hAnsi="Times"/>
          <w:i/>
          <w:iCs/>
        </w:rPr>
        <w:lastRenderedPageBreak/>
        <w:t>Charlottesville</w:t>
      </w:r>
      <w:r>
        <w:rPr>
          <w:rFonts w:ascii="Times" w:hAnsi="Times"/>
          <w:i/>
          <w:iCs/>
        </w:rPr>
        <w:t xml:space="preserve"> with VTDs shaded by partisanship (deeper blue is greater 2020 Democratic vote share, deeper red is greater Republican)</w:t>
      </w:r>
    </w:p>
    <w:p w14:paraId="26DD6FA0" w14:textId="71170C46" w:rsidR="009520B1" w:rsidRDefault="00766356" w:rsidP="00766356">
      <w:r>
        <w:rPr>
          <w:noProof/>
        </w:rPr>
        <w:drawing>
          <wp:anchor distT="0" distB="0" distL="114300" distR="114300" simplePos="0" relativeHeight="251706368" behindDoc="0" locked="0" layoutInCell="1" allowOverlap="1" wp14:anchorId="09212800" wp14:editId="36C9B923">
            <wp:simplePos x="0" y="0"/>
            <wp:positionH relativeFrom="column">
              <wp:posOffset>1168400</wp:posOffset>
            </wp:positionH>
            <wp:positionV relativeFrom="paragraph">
              <wp:posOffset>0</wp:posOffset>
            </wp:positionV>
            <wp:extent cx="3467100" cy="2962910"/>
            <wp:effectExtent l="0" t="0" r="0" b="0"/>
            <wp:wrapTopAndBottom/>
            <wp:docPr id="55" name="Picture 5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Map&#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67100" cy="296291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"https://drawcongress.org/wp-content/uploads/Screen-Shot-2022-04-01-at-9.09.03-PM.png" \* MERGEFORMATINET </w:instrText>
      </w:r>
      <w:r>
        <w:fldChar w:fldCharType="separate"/>
      </w:r>
      <w:r>
        <w:fldChar w:fldCharType="end"/>
      </w:r>
    </w:p>
    <w:p w14:paraId="5AC232C7" w14:textId="3AB73150" w:rsidR="00631114" w:rsidRDefault="00110F7F" w:rsidP="009520B1">
      <w:pPr>
        <w:spacing w:line="480" w:lineRule="auto"/>
        <w:ind w:firstLine="720"/>
      </w:pPr>
      <w:r>
        <w:t xml:space="preserve">These districts were similarly </w:t>
      </w:r>
      <w:r w:rsidR="008A1AD9">
        <w:t>straightforward</w:t>
      </w:r>
      <w:r>
        <w:t xml:space="preserve"> to draw as they are comprised of the deep</w:t>
      </w:r>
      <w:r w:rsidR="00703622">
        <w:t>ly</w:t>
      </w:r>
      <w:r>
        <w:t xml:space="preserve"> Republican </w:t>
      </w:r>
      <w:r w:rsidR="000A344A">
        <w:t xml:space="preserve">panhandle and Southside region. Again, I drew these districts </w:t>
      </w:r>
      <w:r w:rsidR="00F27FED">
        <w:t xml:space="preserve">with the intention of reaching equal population. </w:t>
      </w:r>
      <w:r w:rsidR="009B32EB">
        <w:t>A Republican candidate running for president in these districts between 2016 and 2020 would handily receive</w:t>
      </w:r>
      <w:r w:rsidR="00C406DB">
        <w:t xml:space="preserve"> more than 55% of vote share. However, a </w:t>
      </w:r>
      <w:r w:rsidR="003D2EBB">
        <w:t xml:space="preserve">2020 </w:t>
      </w:r>
      <w:r w:rsidR="00C406DB">
        <w:t xml:space="preserve">Republican Senate </w:t>
      </w:r>
      <w:r w:rsidR="003D2EBB">
        <w:t xml:space="preserve">candidate </w:t>
      </w:r>
      <w:r w:rsidR="00C406DB">
        <w:t>would receive only 53% of the vote share in the 5</w:t>
      </w:r>
      <w:r w:rsidR="00C406DB" w:rsidRPr="00C406DB">
        <w:rPr>
          <w:vertAlign w:val="superscript"/>
        </w:rPr>
        <w:t>th</w:t>
      </w:r>
      <w:r w:rsidR="00C406DB">
        <w:t xml:space="preserve"> District as it is currently drawn</w:t>
      </w:r>
      <w:r w:rsidR="003D2EBB">
        <w:t>, but I believe this aberration may be due to Democratic Senator Mark Warner’s popularity as an incumbent in 2020. In any case</w:t>
      </w:r>
      <w:r w:rsidR="00C406DB">
        <w:t xml:space="preserve">, </w:t>
      </w:r>
      <w:r w:rsidR="00F27FED">
        <w:t xml:space="preserve">Plan Score rates both as </w:t>
      </w:r>
      <w:r w:rsidR="00835926">
        <w:t>safe Republican, giving Democrats less than 1% chance of winning the 9</w:t>
      </w:r>
      <w:r w:rsidR="00835926" w:rsidRPr="00835926">
        <w:rPr>
          <w:vertAlign w:val="superscript"/>
        </w:rPr>
        <w:t>th</w:t>
      </w:r>
      <w:r w:rsidR="00835926">
        <w:t xml:space="preserve"> District and 3% change of winning the </w:t>
      </w:r>
      <w:r w:rsidR="00944E55">
        <w:t>5</w:t>
      </w:r>
      <w:r w:rsidR="00944E55" w:rsidRPr="00944E55">
        <w:rPr>
          <w:vertAlign w:val="superscript"/>
        </w:rPr>
        <w:t>th</w:t>
      </w:r>
      <w:r w:rsidR="00944E55">
        <w:t xml:space="preserve">. </w:t>
      </w:r>
    </w:p>
    <w:p w14:paraId="3130D669" w14:textId="16CE85D6" w:rsidR="008744F7" w:rsidRDefault="008744F7" w:rsidP="008C01E9">
      <w:pPr>
        <w:spacing w:line="480" w:lineRule="auto"/>
      </w:pPr>
      <w:r>
        <w:tab/>
      </w:r>
      <w:r>
        <w:t xml:space="preserve">Given the spate of Democratic voters in Charlottesville and its deeply Republican surroundings, I </w:t>
      </w:r>
      <w:r w:rsidR="0021318B">
        <w:t>wavered between placing it in the 5</w:t>
      </w:r>
      <w:r w:rsidR="0021318B" w:rsidRPr="0021318B">
        <w:rPr>
          <w:vertAlign w:val="superscript"/>
        </w:rPr>
        <w:t>th</w:t>
      </w:r>
      <w:r w:rsidR="0021318B">
        <w:t xml:space="preserve"> or 6</w:t>
      </w:r>
      <w:r w:rsidR="0021318B" w:rsidRPr="0021318B">
        <w:rPr>
          <w:vertAlign w:val="superscript"/>
        </w:rPr>
        <w:t>th</w:t>
      </w:r>
      <w:r w:rsidR="0021318B">
        <w:t xml:space="preserve"> districts. While its historical placement in the 5</w:t>
      </w:r>
      <w:r w:rsidR="0021318B" w:rsidRPr="0021318B">
        <w:rPr>
          <w:vertAlign w:val="superscript"/>
        </w:rPr>
        <w:t>th</w:t>
      </w:r>
      <w:r w:rsidR="0021318B">
        <w:t xml:space="preserve"> weighed in favor of repeating </w:t>
      </w:r>
      <w:r w:rsidR="00A651F2">
        <w:t>such a placement according to least change principles, I ultimate</w:t>
      </w:r>
      <w:r w:rsidR="004A005B">
        <w:t>ly placed it in the 6</w:t>
      </w:r>
      <w:r w:rsidR="004A005B" w:rsidRPr="004A005B">
        <w:rPr>
          <w:vertAlign w:val="superscript"/>
        </w:rPr>
        <w:t>th</w:t>
      </w:r>
      <w:r w:rsidR="004A005B">
        <w:t xml:space="preserve"> for proportionality reasons. </w:t>
      </w:r>
      <w:r w:rsidR="002E7808">
        <w:t>The 6</w:t>
      </w:r>
      <w:r w:rsidR="002E7808">
        <w:rPr>
          <w:vertAlign w:val="superscript"/>
        </w:rPr>
        <w:t xml:space="preserve">th </w:t>
      </w:r>
      <w:r w:rsidR="002E7808">
        <w:t>District was moderately less Republican than the 5</w:t>
      </w:r>
      <w:r w:rsidR="002E7808" w:rsidRPr="002E7808">
        <w:rPr>
          <w:vertAlign w:val="superscript"/>
        </w:rPr>
        <w:t>th</w:t>
      </w:r>
      <w:r w:rsidR="002E7808">
        <w:t xml:space="preserve">, meaning Charlottesville would be moderately less </w:t>
      </w:r>
      <w:r w:rsidR="00156631">
        <w:t xml:space="preserve">“stacked” into a Republican district. I also felt Charlottesville and its neighboring </w:t>
      </w:r>
      <w:proofErr w:type="gramStart"/>
      <w:r w:rsidR="00156631">
        <w:t xml:space="preserve">Democratic </w:t>
      </w:r>
      <w:r w:rsidR="00156631">
        <w:lastRenderedPageBreak/>
        <w:t>county</w:t>
      </w:r>
      <w:proofErr w:type="gramEnd"/>
      <w:r w:rsidR="00156631">
        <w:t xml:space="preserve"> of </w:t>
      </w:r>
      <w:r w:rsidR="00BE0098">
        <w:t xml:space="preserve">Fluvanna </w:t>
      </w:r>
      <w:r w:rsidR="00156631">
        <w:t>were more culturally similar to the Blue Ridge-based communities apportioned to the 6</w:t>
      </w:r>
      <w:r w:rsidR="00156631" w:rsidRPr="00156631">
        <w:rPr>
          <w:vertAlign w:val="superscript"/>
        </w:rPr>
        <w:t>th</w:t>
      </w:r>
      <w:r w:rsidR="00156631">
        <w:t xml:space="preserve"> District rather than the Southside </w:t>
      </w:r>
      <w:r w:rsidR="00BE0098">
        <w:t>communities of the 5</w:t>
      </w:r>
      <w:r w:rsidR="00BE0098" w:rsidRPr="00BE0098">
        <w:rPr>
          <w:vertAlign w:val="superscript"/>
        </w:rPr>
        <w:t>th</w:t>
      </w:r>
      <w:r w:rsidR="00BE0098">
        <w:t>. The resulting 6</w:t>
      </w:r>
      <w:r w:rsidR="00BE0098" w:rsidRPr="00BE0098">
        <w:rPr>
          <w:vertAlign w:val="superscript"/>
        </w:rPr>
        <w:t>th</w:t>
      </w:r>
      <w:r w:rsidR="00BE0098">
        <w:t xml:space="preserve"> District </w:t>
      </w:r>
      <w:r w:rsidR="00961E8E">
        <w:t xml:space="preserve">would have delivered 54% of the vote share to Republicans in the 2020 presidential race, 53% of the vote share </w:t>
      </w:r>
      <w:r w:rsidR="00E841CF">
        <w:t xml:space="preserve">Republicans in the 2020 Senate race, and 58% of the vote share to Republicans in the 2016 race. Plan Score </w:t>
      </w:r>
      <w:r w:rsidR="00DB73F0">
        <w:t>confirms it as a safe Republican seat, giving Democrats only a 5% chance of winning it.</w:t>
      </w:r>
    </w:p>
    <w:p w14:paraId="5666C114" w14:textId="7D66E83F" w:rsidR="001C4CA6" w:rsidRPr="00766356" w:rsidRDefault="00E67671" w:rsidP="00766356">
      <w:pPr>
        <w:spacing w:line="480" w:lineRule="auto"/>
        <w:rPr>
          <w:u w:val="single"/>
        </w:rPr>
      </w:pPr>
      <w:r w:rsidRPr="00E67671">
        <w:rPr>
          <w:u w:val="single"/>
        </w:rPr>
        <w:t>Safe Democratic Ability-to-Elect Districts</w:t>
      </w:r>
      <w:r>
        <w:rPr>
          <w:u w:val="single"/>
        </w:rPr>
        <w:t>: 3</w:t>
      </w:r>
      <w:r w:rsidRPr="00E67671">
        <w:rPr>
          <w:u w:val="single"/>
          <w:vertAlign w:val="superscript"/>
        </w:rPr>
        <w:t>rd</w:t>
      </w:r>
      <w:r>
        <w:rPr>
          <w:u w:val="single"/>
        </w:rPr>
        <w:t xml:space="preserve"> and 4</w:t>
      </w:r>
      <w:r w:rsidRPr="00E67671">
        <w:rPr>
          <w:u w:val="single"/>
          <w:vertAlign w:val="superscript"/>
        </w:rPr>
        <w:t>th</w:t>
      </w:r>
      <w:r>
        <w:rPr>
          <w:u w:val="single"/>
        </w:rPr>
        <w:t xml:space="preserve"> Districts</w:t>
      </w:r>
    </w:p>
    <w:p w14:paraId="25F74CCA" w14:textId="30CD9124" w:rsidR="001C4CA6" w:rsidRPr="00CE2852" w:rsidRDefault="00766356" w:rsidP="001C4CA6">
      <w:pPr>
        <w:spacing w:line="480" w:lineRule="auto"/>
        <w:jc w:val="center"/>
        <w:rPr>
          <w:rFonts w:ascii="Times" w:hAnsi="Times"/>
          <w:i/>
          <w:iCs/>
        </w:rPr>
      </w:pPr>
      <w:r>
        <w:rPr>
          <w:noProof/>
        </w:rPr>
        <w:drawing>
          <wp:anchor distT="0" distB="0" distL="114300" distR="114300" simplePos="0" relativeHeight="251698176" behindDoc="0" locked="0" layoutInCell="1" allowOverlap="1" wp14:anchorId="5B59B65F" wp14:editId="11A8177F">
            <wp:simplePos x="0" y="0"/>
            <wp:positionH relativeFrom="column">
              <wp:posOffset>3250565</wp:posOffset>
            </wp:positionH>
            <wp:positionV relativeFrom="paragraph">
              <wp:posOffset>644525</wp:posOffset>
            </wp:positionV>
            <wp:extent cx="3117215" cy="3130550"/>
            <wp:effectExtent l="0" t="0" r="0" b="6350"/>
            <wp:wrapTopAndBottom/>
            <wp:docPr id="54" name="Picture 5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ap&#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17215" cy="3130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14:anchorId="4E65CD8C" wp14:editId="31683803">
            <wp:simplePos x="0" y="0"/>
            <wp:positionH relativeFrom="column">
              <wp:posOffset>-795655</wp:posOffset>
            </wp:positionH>
            <wp:positionV relativeFrom="paragraph">
              <wp:posOffset>647700</wp:posOffset>
            </wp:positionV>
            <wp:extent cx="3551555" cy="3327400"/>
            <wp:effectExtent l="0" t="0" r="635" b="0"/>
            <wp:wrapTopAndBottom/>
            <wp:docPr id="53" name="Picture 5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Ma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51555" cy="332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4CA6">
        <w:rPr>
          <w:rFonts w:ascii="Times" w:hAnsi="Times"/>
          <w:i/>
          <w:iCs/>
        </w:rPr>
        <w:t>3</w:t>
      </w:r>
      <w:r w:rsidR="001C4CA6" w:rsidRPr="001C4CA6">
        <w:rPr>
          <w:rFonts w:ascii="Times" w:hAnsi="Times"/>
          <w:i/>
          <w:iCs/>
          <w:vertAlign w:val="superscript"/>
        </w:rPr>
        <w:t>rd</w:t>
      </w:r>
      <w:r w:rsidR="001C4CA6">
        <w:rPr>
          <w:rFonts w:ascii="Times" w:hAnsi="Times"/>
          <w:i/>
          <w:iCs/>
        </w:rPr>
        <w:t xml:space="preserve"> District (left) and Richmond area (</w:t>
      </w:r>
      <w:proofErr w:type="gramStart"/>
      <w:r w:rsidR="001C4CA6">
        <w:rPr>
          <w:rFonts w:ascii="Times" w:hAnsi="Times"/>
          <w:i/>
          <w:iCs/>
        </w:rPr>
        <w:t xml:space="preserve">right) </w:t>
      </w:r>
      <w:r w:rsidR="001C4CA6">
        <w:rPr>
          <w:rFonts w:ascii="Times" w:hAnsi="Times"/>
          <w:i/>
          <w:iCs/>
        </w:rPr>
        <w:t xml:space="preserve"> with</w:t>
      </w:r>
      <w:proofErr w:type="gramEnd"/>
      <w:r w:rsidR="001C4CA6">
        <w:rPr>
          <w:rFonts w:ascii="Times" w:hAnsi="Times"/>
          <w:i/>
          <w:iCs/>
        </w:rPr>
        <w:t xml:space="preserve"> VTDs shaded by partisanship (deeper blue is greater 2020 Democratic vote share, deeper red is greater Republican)</w:t>
      </w:r>
    </w:p>
    <w:p w14:paraId="582AEC21" w14:textId="3383A4DA" w:rsidR="001C4CA6" w:rsidRDefault="001C4CA6" w:rsidP="00E67671">
      <w:pPr>
        <w:spacing w:line="480" w:lineRule="auto"/>
        <w:rPr>
          <w:u w:val="single"/>
        </w:rPr>
      </w:pPr>
    </w:p>
    <w:p w14:paraId="328B6261" w14:textId="134C9E4A" w:rsidR="009520B1" w:rsidRDefault="0087034D" w:rsidP="009520B1">
      <w:r>
        <w:rPr>
          <w:noProof/>
        </w:rPr>
        <w:lastRenderedPageBreak/>
        <w:drawing>
          <wp:anchor distT="0" distB="0" distL="114300" distR="114300" simplePos="0" relativeHeight="251711488" behindDoc="0" locked="0" layoutInCell="1" allowOverlap="1" wp14:anchorId="071CB47C" wp14:editId="181E01D7">
            <wp:simplePos x="0" y="0"/>
            <wp:positionH relativeFrom="column">
              <wp:posOffset>-500380</wp:posOffset>
            </wp:positionH>
            <wp:positionV relativeFrom="paragraph">
              <wp:posOffset>177800</wp:posOffset>
            </wp:positionV>
            <wp:extent cx="3479165" cy="2886710"/>
            <wp:effectExtent l="0" t="0" r="635" b="0"/>
            <wp:wrapTopAndBottom/>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79165" cy="28867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0" locked="0" layoutInCell="1" allowOverlap="1" wp14:anchorId="2B03782D" wp14:editId="6F568474">
            <wp:simplePos x="0" y="0"/>
            <wp:positionH relativeFrom="column">
              <wp:posOffset>2794000</wp:posOffset>
            </wp:positionH>
            <wp:positionV relativeFrom="paragraph">
              <wp:posOffset>177165</wp:posOffset>
            </wp:positionV>
            <wp:extent cx="4058920" cy="3030855"/>
            <wp:effectExtent l="0" t="0" r="5080" b="4445"/>
            <wp:wrapTopAndBottom/>
            <wp:docPr id="65" name="Picture 6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Map&#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058920" cy="3030855"/>
                    </a:xfrm>
                    <a:prstGeom prst="rect">
                      <a:avLst/>
                    </a:prstGeom>
                  </pic:spPr>
                </pic:pic>
              </a:graphicData>
            </a:graphic>
            <wp14:sizeRelH relativeFrom="page">
              <wp14:pctWidth>0</wp14:pctWidth>
            </wp14:sizeRelH>
            <wp14:sizeRelV relativeFrom="page">
              <wp14:pctHeight>0</wp14:pctHeight>
            </wp14:sizeRelV>
          </wp:anchor>
        </w:drawing>
      </w:r>
      <w:r w:rsidR="009520B1">
        <w:fldChar w:fldCharType="begin"/>
      </w:r>
      <w:r w:rsidR="009520B1">
        <w:instrText xml:space="preserve"> INCLUDEPICTURE "https://drawcongress.org/wp-content/uploads/Screen-Shot-2022-04-01-at-9.09.24-PM.png" \* MERGEFORMATINET </w:instrText>
      </w:r>
      <w:r w:rsidR="009520B1">
        <w:fldChar w:fldCharType="separate"/>
      </w:r>
      <w:r w:rsidR="009520B1">
        <w:fldChar w:fldCharType="end"/>
      </w:r>
    </w:p>
    <w:p w14:paraId="748A4365" w14:textId="78FB4DCC" w:rsidR="009520B1" w:rsidRDefault="009520B1" w:rsidP="009520B1">
      <w:r>
        <w:fldChar w:fldCharType="begin"/>
      </w:r>
      <w:r>
        <w:instrText xml:space="preserve"> INCLUDEPICTURE "https://drawcongress.org/wp-content/uploads/Screen-Shot-2022-04-01-at-9.02.30-PM.png" \* MERGEFORMATINET </w:instrText>
      </w:r>
      <w:r>
        <w:fldChar w:fldCharType="separate"/>
      </w:r>
      <w:r>
        <w:fldChar w:fldCharType="end"/>
      </w:r>
    </w:p>
    <w:p w14:paraId="67CC2A63" w14:textId="70D1E18B" w:rsidR="009520B1" w:rsidRDefault="009520B1" w:rsidP="00E67671">
      <w:pPr>
        <w:spacing w:line="480" w:lineRule="auto"/>
        <w:rPr>
          <w:u w:val="single"/>
        </w:rPr>
      </w:pPr>
    </w:p>
    <w:p w14:paraId="730D5A6B" w14:textId="37AFFC7C" w:rsidR="00DB73F0" w:rsidRPr="00DB73F0" w:rsidRDefault="00DB73F0" w:rsidP="0087034D">
      <w:pPr>
        <w:spacing w:line="480" w:lineRule="auto"/>
      </w:pPr>
      <w:r>
        <w:tab/>
      </w:r>
      <w:r w:rsidR="009520B1">
        <w:fldChar w:fldCharType="begin"/>
      </w:r>
      <w:r w:rsidR="009520B1">
        <w:instrText xml:space="preserve"> INCLUDEPICTURE "https://drawcongress.org/wp-content/uploads/Screen-Shot-2022-04-01-at-9.09.11-PM.png" \* MERGEFORMATINET </w:instrText>
      </w:r>
      <w:r w:rsidR="009520B1">
        <w:fldChar w:fldCharType="separate"/>
      </w:r>
      <w:r w:rsidR="009520B1">
        <w:fldChar w:fldCharType="end"/>
      </w:r>
      <w:r w:rsidR="00147733">
        <w:t>Desiring to maintain the 3</w:t>
      </w:r>
      <w:r w:rsidR="00147733" w:rsidRPr="00147733">
        <w:rPr>
          <w:vertAlign w:val="superscript"/>
        </w:rPr>
        <w:t>rd</w:t>
      </w:r>
      <w:r w:rsidR="00147733">
        <w:t xml:space="preserve"> and 4</w:t>
      </w:r>
      <w:r w:rsidR="00147733" w:rsidRPr="00147733">
        <w:rPr>
          <w:vertAlign w:val="superscript"/>
        </w:rPr>
        <w:t>th</w:t>
      </w:r>
      <w:r w:rsidR="00147733">
        <w:t xml:space="preserve"> Districts as the safe Democratic seats they are, I drew these districts with least change principles from the 2016 maps.</w:t>
      </w:r>
      <w:r w:rsidR="005F3654">
        <w:t xml:space="preserve"> I shifted borders only to adjust for equal population, which resulted in two VRA-compliant districts. The 3</w:t>
      </w:r>
      <w:r w:rsidR="005F3654" w:rsidRPr="005F3654">
        <w:rPr>
          <w:vertAlign w:val="superscript"/>
        </w:rPr>
        <w:t>rd</w:t>
      </w:r>
      <w:r w:rsidR="005F3654">
        <w:t xml:space="preserve"> District has a Black VAP of </w:t>
      </w:r>
      <w:r w:rsidR="007004DE">
        <w:t>45.3% and 4</w:t>
      </w:r>
      <w:r w:rsidR="007004DE" w:rsidRPr="007004DE">
        <w:rPr>
          <w:vertAlign w:val="superscript"/>
        </w:rPr>
        <w:t>th</w:t>
      </w:r>
      <w:r w:rsidR="007004DE">
        <w:t xml:space="preserve"> has 41.3%. Under all election scenarios between 2016 and 2020, these districts </w:t>
      </w:r>
      <w:r w:rsidR="00AC56A7">
        <w:t>deliver more than 60% of vote share to Democratic candidates.</w:t>
      </w:r>
    </w:p>
    <w:p w14:paraId="26241265" w14:textId="70C488A6" w:rsidR="001F6776" w:rsidRDefault="0087034D" w:rsidP="008C01E9">
      <w:pPr>
        <w:spacing w:line="480" w:lineRule="auto"/>
        <w:rPr>
          <w:u w:val="single"/>
        </w:rPr>
      </w:pPr>
      <w:r>
        <w:rPr>
          <w:noProof/>
        </w:rPr>
        <w:lastRenderedPageBreak/>
        <w:drawing>
          <wp:anchor distT="0" distB="0" distL="114300" distR="114300" simplePos="0" relativeHeight="251715584" behindDoc="0" locked="0" layoutInCell="1" allowOverlap="1" wp14:anchorId="1133F2D8" wp14:editId="0AB97071">
            <wp:simplePos x="0" y="0"/>
            <wp:positionH relativeFrom="column">
              <wp:posOffset>3054985</wp:posOffset>
            </wp:positionH>
            <wp:positionV relativeFrom="paragraph">
              <wp:posOffset>380365</wp:posOffset>
            </wp:positionV>
            <wp:extent cx="3803015" cy="4165600"/>
            <wp:effectExtent l="0" t="0" r="0" b="0"/>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rotWithShape="1">
                    <a:blip r:embed="rId61" cstate="print">
                      <a:extLst>
                        <a:ext uri="{28A0092B-C50C-407E-A947-70E740481C1C}">
                          <a14:useLocalDpi xmlns:a14="http://schemas.microsoft.com/office/drawing/2010/main" val="0"/>
                        </a:ext>
                      </a:extLst>
                    </a:blip>
                    <a:srcRect l="8176"/>
                    <a:stretch/>
                  </pic:blipFill>
                  <pic:spPr bwMode="auto">
                    <a:xfrm>
                      <a:off x="0" y="0"/>
                      <a:ext cx="3803015" cy="416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u w:val="single"/>
        </w:rPr>
        <w:drawing>
          <wp:anchor distT="0" distB="0" distL="114300" distR="114300" simplePos="0" relativeHeight="251714560" behindDoc="0" locked="0" layoutInCell="1" allowOverlap="1" wp14:anchorId="7959DED6" wp14:editId="13827554">
            <wp:simplePos x="0" y="0"/>
            <wp:positionH relativeFrom="column">
              <wp:posOffset>-914612</wp:posOffset>
            </wp:positionH>
            <wp:positionV relativeFrom="paragraph">
              <wp:posOffset>880322</wp:posOffset>
            </wp:positionV>
            <wp:extent cx="4178300" cy="3665855"/>
            <wp:effectExtent l="0" t="0" r="0" b="4445"/>
            <wp:wrapTopAndBottom/>
            <wp:docPr id="67" name="Picture 6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Map&#10;&#10;Description automatically generated"/>
                    <pic:cNvPicPr/>
                  </pic:nvPicPr>
                  <pic:blipFill rotWithShape="1">
                    <a:blip r:embed="rId62" cstate="print">
                      <a:extLst>
                        <a:ext uri="{28A0092B-C50C-407E-A947-70E740481C1C}">
                          <a14:useLocalDpi xmlns:a14="http://schemas.microsoft.com/office/drawing/2010/main" val="0"/>
                        </a:ext>
                      </a:extLst>
                    </a:blip>
                    <a:srcRect l="7324"/>
                    <a:stretch/>
                  </pic:blipFill>
                  <pic:spPr bwMode="auto">
                    <a:xfrm>
                      <a:off x="0" y="0"/>
                      <a:ext cx="4178300" cy="3665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7671">
        <w:rPr>
          <w:u w:val="single"/>
        </w:rPr>
        <w:t xml:space="preserve">More Competitive Republican Districts: </w:t>
      </w:r>
      <w:r w:rsidR="002856F3">
        <w:rPr>
          <w:u w:val="single"/>
        </w:rPr>
        <w:t>1</w:t>
      </w:r>
      <w:r w:rsidR="002856F3" w:rsidRPr="002856F3">
        <w:rPr>
          <w:u w:val="single"/>
          <w:vertAlign w:val="superscript"/>
        </w:rPr>
        <w:t>st</w:t>
      </w:r>
      <w:r w:rsidR="008744F7">
        <w:rPr>
          <w:u w:val="single"/>
        </w:rPr>
        <w:t xml:space="preserve"> and </w:t>
      </w:r>
      <w:r w:rsidR="002856F3">
        <w:rPr>
          <w:u w:val="single"/>
        </w:rPr>
        <w:t>7</w:t>
      </w:r>
      <w:r w:rsidR="002856F3" w:rsidRPr="002856F3">
        <w:rPr>
          <w:u w:val="single"/>
          <w:vertAlign w:val="superscript"/>
        </w:rPr>
        <w:t>th</w:t>
      </w:r>
      <w:r w:rsidR="008744F7">
        <w:rPr>
          <w:u w:val="single"/>
        </w:rPr>
        <w:t xml:space="preserve"> </w:t>
      </w:r>
      <w:r w:rsidR="002856F3">
        <w:rPr>
          <w:u w:val="single"/>
        </w:rPr>
        <w:t>District</w:t>
      </w:r>
      <w:r w:rsidR="008744F7">
        <w:rPr>
          <w:u w:val="single"/>
        </w:rPr>
        <w:t>s</w:t>
      </w:r>
    </w:p>
    <w:p w14:paraId="6BF97A1B" w14:textId="152FF3AE" w:rsidR="0087034D" w:rsidRDefault="0087034D" w:rsidP="008C01E9">
      <w:pPr>
        <w:spacing w:line="480" w:lineRule="auto"/>
        <w:rPr>
          <w:u w:val="single"/>
        </w:rPr>
      </w:pPr>
    </w:p>
    <w:p w14:paraId="5F1D10AF" w14:textId="5EA3F6AC" w:rsidR="001F6776" w:rsidRDefault="001F6776" w:rsidP="008C01E9">
      <w:pPr>
        <w:spacing w:line="480" w:lineRule="auto"/>
      </w:pPr>
      <w:r>
        <w:tab/>
      </w:r>
      <w:r w:rsidR="000E1108">
        <w:t xml:space="preserve">District 7 combines the more </w:t>
      </w:r>
      <w:r w:rsidR="0055652B">
        <w:t>moderate</w:t>
      </w:r>
      <w:r w:rsidR="000E1108">
        <w:t xml:space="preserve"> </w:t>
      </w:r>
      <w:r w:rsidR="002D2A72">
        <w:t>southeaster</w:t>
      </w:r>
      <w:r w:rsidR="00351970">
        <w:t>n</w:t>
      </w:r>
      <w:r w:rsidR="002D2A72">
        <w:t xml:space="preserve"> </w:t>
      </w:r>
      <w:r w:rsidR="0055652B">
        <w:t xml:space="preserve">Washington, D.C. exurbs with the </w:t>
      </w:r>
      <w:r w:rsidR="002D2A72">
        <w:t xml:space="preserve">conservative Northern Virginia counties of Fauquier, Rappahannock, Clark, and Warren. Combined, this District is close to safe Republican by </w:t>
      </w:r>
      <w:r w:rsidR="009C28DA">
        <w:t xml:space="preserve">2020 </w:t>
      </w:r>
      <w:r w:rsidR="00863B4A">
        <w:t xml:space="preserve">metrics, with Senate and Presidential Republican candidates receiving </w:t>
      </w:r>
      <w:r w:rsidR="002F61ED">
        <w:t xml:space="preserve">52% of vote share. By 2016 metrics, the </w:t>
      </w:r>
      <w:proofErr w:type="gramStart"/>
      <w:r w:rsidR="002F61ED">
        <w:t>District</w:t>
      </w:r>
      <w:proofErr w:type="gramEnd"/>
      <w:r w:rsidR="002F61ED">
        <w:t xml:space="preserve"> is even safer Republican, at </w:t>
      </w:r>
      <w:r w:rsidR="007567B6">
        <w:t xml:space="preserve">56%. Plan Score predicts 57% of the vote share for Republicans in this District and an 8% likelihood a Democrat could take the </w:t>
      </w:r>
      <w:proofErr w:type="gramStart"/>
      <w:r w:rsidR="00635376">
        <w:t>D</w:t>
      </w:r>
      <w:r w:rsidR="007567B6">
        <w:t>istrict</w:t>
      </w:r>
      <w:proofErr w:type="gramEnd"/>
      <w:r w:rsidR="007567B6">
        <w:t>.</w:t>
      </w:r>
    </w:p>
    <w:p w14:paraId="6CC16F22" w14:textId="28E50DD2" w:rsidR="0082383E" w:rsidRPr="001F6776" w:rsidRDefault="0082383E" w:rsidP="008C01E9">
      <w:pPr>
        <w:spacing w:line="480" w:lineRule="auto"/>
      </w:pPr>
      <w:r>
        <w:tab/>
        <w:t xml:space="preserve">District 1 occupies </w:t>
      </w:r>
      <w:r w:rsidR="00C656CD">
        <w:t xml:space="preserve">the northeastern corner of the state below the D.C. area, incorporating Democratic Fredericksburg to the northwest and skirting Democratic Richmond to the south. </w:t>
      </w:r>
      <w:r w:rsidR="00FB15B5">
        <w:t>This District features an unfortunate protrusion into the Williamsburg area, but</w:t>
      </w:r>
      <w:r w:rsidR="00C67C8D">
        <w:t xml:space="preserve"> it was necessary </w:t>
      </w:r>
      <w:r w:rsidR="00C67C8D">
        <w:lastRenderedPageBreak/>
        <w:t xml:space="preserve">to accommodate </w:t>
      </w:r>
      <w:r w:rsidR="00D206BE">
        <w:t>population constraints and the 2</w:t>
      </w:r>
      <w:r w:rsidR="00D206BE" w:rsidRPr="00D206BE">
        <w:rPr>
          <w:vertAlign w:val="superscript"/>
        </w:rPr>
        <w:t>nd</w:t>
      </w:r>
      <w:r w:rsidR="00D206BE">
        <w:t xml:space="preserve"> District’s competitiveness.</w:t>
      </w:r>
      <w:r w:rsidR="00136E21">
        <w:t xml:space="preserve"> Between 2016 and 2020, a Republican running in the 1</w:t>
      </w:r>
      <w:r w:rsidR="00136E21">
        <w:rPr>
          <w:vertAlign w:val="superscript"/>
        </w:rPr>
        <w:t xml:space="preserve">st </w:t>
      </w:r>
      <w:r w:rsidR="00136E21">
        <w:t xml:space="preserve">District would have received anywhere from </w:t>
      </w:r>
      <w:r w:rsidR="00D10A77">
        <w:t xml:space="preserve">51% to 55% of the vote share. In this way, it is far from competitive, </w:t>
      </w:r>
      <w:r w:rsidR="00C0464C">
        <w:t>albeit</w:t>
      </w:r>
      <w:r w:rsidR="00D10A77">
        <w:t xml:space="preserve"> less safe </w:t>
      </w:r>
      <w:r w:rsidR="00C0464C">
        <w:t xml:space="preserve">Republican </w:t>
      </w:r>
      <w:r w:rsidR="00D10A77">
        <w:t>than its counterparts throughout the state.</w:t>
      </w:r>
    </w:p>
    <w:p w14:paraId="3E5D5707" w14:textId="41A46B1C" w:rsidR="00E67671" w:rsidRDefault="00292E24" w:rsidP="008C01E9">
      <w:pPr>
        <w:spacing w:line="480" w:lineRule="auto"/>
        <w:rPr>
          <w:u w:val="single"/>
        </w:rPr>
      </w:pPr>
      <w:r w:rsidRPr="00292E24">
        <w:rPr>
          <w:u w:val="single"/>
        </w:rPr>
        <w:t>Competitive District: 2</w:t>
      </w:r>
      <w:r w:rsidRPr="00292E24">
        <w:rPr>
          <w:u w:val="single"/>
          <w:vertAlign w:val="superscript"/>
        </w:rPr>
        <w:t>nd</w:t>
      </w:r>
      <w:r w:rsidRPr="00292E24">
        <w:rPr>
          <w:u w:val="single"/>
        </w:rPr>
        <w:t xml:space="preserve"> District</w:t>
      </w:r>
    </w:p>
    <w:p w14:paraId="3C820A81" w14:textId="5BADF2F4" w:rsidR="0087034D" w:rsidRPr="00292E24" w:rsidRDefault="0087034D" w:rsidP="008C01E9">
      <w:pPr>
        <w:spacing w:line="480" w:lineRule="auto"/>
        <w:rPr>
          <w:u w:val="single"/>
        </w:rPr>
      </w:pPr>
      <w:r>
        <w:rPr>
          <w:noProof/>
          <w:u w:val="single"/>
        </w:rPr>
        <w:drawing>
          <wp:anchor distT="0" distB="0" distL="114300" distR="114300" simplePos="0" relativeHeight="251716608" behindDoc="1" locked="0" layoutInCell="1" allowOverlap="1" wp14:anchorId="63C7423E" wp14:editId="5A963E2E">
            <wp:simplePos x="0" y="0"/>
            <wp:positionH relativeFrom="column">
              <wp:posOffset>617855</wp:posOffset>
            </wp:positionH>
            <wp:positionV relativeFrom="paragraph">
              <wp:posOffset>41910</wp:posOffset>
            </wp:positionV>
            <wp:extent cx="4699000" cy="4391025"/>
            <wp:effectExtent l="0" t="0" r="0" b="3175"/>
            <wp:wrapTopAndBottom/>
            <wp:docPr id="69" name="Picture 6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Map&#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99000" cy="4391025"/>
                    </a:xfrm>
                    <a:prstGeom prst="rect">
                      <a:avLst/>
                    </a:prstGeom>
                  </pic:spPr>
                </pic:pic>
              </a:graphicData>
            </a:graphic>
            <wp14:sizeRelH relativeFrom="page">
              <wp14:pctWidth>0</wp14:pctWidth>
            </wp14:sizeRelH>
            <wp14:sizeRelV relativeFrom="page">
              <wp14:pctHeight>0</wp14:pctHeight>
            </wp14:sizeRelV>
          </wp:anchor>
        </w:drawing>
      </w:r>
    </w:p>
    <w:p w14:paraId="663E151B" w14:textId="465979CA" w:rsidR="008C01E9" w:rsidRPr="0011014F" w:rsidRDefault="00562354" w:rsidP="00143BC2">
      <w:pPr>
        <w:spacing w:line="480" w:lineRule="auto"/>
        <w:rPr>
          <w:rFonts w:ascii="Times" w:hAnsi="Times"/>
        </w:rPr>
      </w:pPr>
      <w:r>
        <w:rPr>
          <w:rFonts w:ascii="Times" w:hAnsi="Times"/>
        </w:rPr>
        <w:tab/>
      </w:r>
      <w:r w:rsidR="00D206BE">
        <w:rPr>
          <w:rFonts w:ascii="Times" w:hAnsi="Times"/>
        </w:rPr>
        <w:t xml:space="preserve">I drew this district to maximize competitiveness. </w:t>
      </w:r>
      <w:r w:rsidR="00A15DC7">
        <w:rPr>
          <w:rFonts w:ascii="Times" w:hAnsi="Times"/>
        </w:rPr>
        <w:t>I selected it to be</w:t>
      </w:r>
      <w:r w:rsidR="00664FD0">
        <w:rPr>
          <w:rFonts w:ascii="Times" w:hAnsi="Times"/>
        </w:rPr>
        <w:t xml:space="preserve"> as</w:t>
      </w:r>
      <w:r w:rsidR="00A15DC7">
        <w:rPr>
          <w:rFonts w:ascii="Times" w:hAnsi="Times"/>
        </w:rPr>
        <w:t xml:space="preserve"> competitive</w:t>
      </w:r>
      <w:r w:rsidR="00664FD0">
        <w:rPr>
          <w:rFonts w:ascii="Times" w:hAnsi="Times"/>
        </w:rPr>
        <w:t xml:space="preserve"> as possible because</w:t>
      </w:r>
      <w:r w:rsidR="00A15DC7">
        <w:rPr>
          <w:rFonts w:ascii="Times" w:hAnsi="Times"/>
        </w:rPr>
        <w:t xml:space="preserve"> of its electoral history. The 2</w:t>
      </w:r>
      <w:r w:rsidR="00A15DC7" w:rsidRPr="00A15DC7">
        <w:rPr>
          <w:rFonts w:ascii="Times" w:hAnsi="Times"/>
          <w:vertAlign w:val="superscript"/>
        </w:rPr>
        <w:t>nd</w:t>
      </w:r>
      <w:r w:rsidR="00A15DC7">
        <w:rPr>
          <w:rFonts w:ascii="Times" w:hAnsi="Times"/>
        </w:rPr>
        <w:t xml:space="preserve"> District has</w:t>
      </w:r>
      <w:r w:rsidR="00C92293">
        <w:rPr>
          <w:rFonts w:ascii="Times" w:hAnsi="Times"/>
        </w:rPr>
        <w:t xml:space="preserve"> switch</w:t>
      </w:r>
      <w:r w:rsidR="00A15DC7">
        <w:rPr>
          <w:rFonts w:ascii="Times" w:hAnsi="Times"/>
        </w:rPr>
        <w:t xml:space="preserve">ed </w:t>
      </w:r>
      <w:r w:rsidR="00C92293">
        <w:rPr>
          <w:rFonts w:ascii="Times" w:hAnsi="Times"/>
        </w:rPr>
        <w:t xml:space="preserve">parties four times in the </w:t>
      </w:r>
      <w:r w:rsidR="00D93883">
        <w:rPr>
          <w:rFonts w:ascii="Times" w:hAnsi="Times"/>
        </w:rPr>
        <w:t xml:space="preserve">last two decades. </w:t>
      </w:r>
      <w:r w:rsidR="00A15DC7">
        <w:rPr>
          <w:rFonts w:ascii="Times" w:hAnsi="Times"/>
        </w:rPr>
        <w:t xml:space="preserve">Even though </w:t>
      </w:r>
      <w:r w:rsidR="00C973F9">
        <w:rPr>
          <w:rFonts w:ascii="Times" w:hAnsi="Times"/>
        </w:rPr>
        <w:t>the 2</w:t>
      </w:r>
      <w:r w:rsidR="00C973F9" w:rsidRPr="00C973F9">
        <w:rPr>
          <w:rFonts w:ascii="Times" w:hAnsi="Times"/>
          <w:vertAlign w:val="superscript"/>
        </w:rPr>
        <w:t>nd</w:t>
      </w:r>
      <w:r w:rsidR="00C973F9">
        <w:rPr>
          <w:rFonts w:ascii="Times" w:hAnsi="Times"/>
        </w:rPr>
        <w:t xml:space="preserve"> District</w:t>
      </w:r>
      <w:r w:rsidR="00D93883">
        <w:rPr>
          <w:rFonts w:ascii="Times" w:hAnsi="Times"/>
        </w:rPr>
        <w:t xml:space="preserve"> currently has a Cook PVI of Republican +1</w:t>
      </w:r>
      <w:r w:rsidR="00A15DC7">
        <w:rPr>
          <w:rFonts w:ascii="Times" w:hAnsi="Times"/>
        </w:rPr>
        <w:t xml:space="preserve">, it </w:t>
      </w:r>
      <w:r w:rsidR="00773DBF">
        <w:rPr>
          <w:rFonts w:ascii="Times" w:hAnsi="Times"/>
        </w:rPr>
        <w:t xml:space="preserve">is </w:t>
      </w:r>
      <w:r w:rsidR="00773DBF">
        <w:rPr>
          <w:rFonts w:ascii="Times" w:hAnsi="Times"/>
        </w:rPr>
        <w:lastRenderedPageBreak/>
        <w:t>represented by Democrat Elaine Luria</w:t>
      </w:r>
      <w:r w:rsidR="00D93883">
        <w:rPr>
          <w:rFonts w:ascii="Times" w:hAnsi="Times"/>
        </w:rPr>
        <w:t>.</w:t>
      </w:r>
      <w:r w:rsidR="00D93883">
        <w:rPr>
          <w:rStyle w:val="FootnoteReference"/>
          <w:rFonts w:ascii="Times" w:hAnsi="Times"/>
        </w:rPr>
        <w:footnoteReference w:id="47"/>
      </w:r>
      <w:r w:rsidR="0033042D">
        <w:rPr>
          <w:rFonts w:ascii="Times" w:hAnsi="Times"/>
        </w:rPr>
        <w:t xml:space="preserve"> Under 2020</w:t>
      </w:r>
      <w:r w:rsidR="00F81038">
        <w:rPr>
          <w:rFonts w:ascii="Times" w:hAnsi="Times"/>
        </w:rPr>
        <w:t xml:space="preserve"> </w:t>
      </w:r>
      <w:r w:rsidR="00B964D5">
        <w:rPr>
          <w:rFonts w:ascii="Times" w:hAnsi="Times"/>
        </w:rPr>
        <w:t>p</w:t>
      </w:r>
      <w:r w:rsidR="00F81038">
        <w:rPr>
          <w:rFonts w:ascii="Times" w:hAnsi="Times"/>
        </w:rPr>
        <w:t xml:space="preserve">residential </w:t>
      </w:r>
      <w:r w:rsidR="00B964D5">
        <w:rPr>
          <w:rFonts w:ascii="Times" w:hAnsi="Times"/>
        </w:rPr>
        <w:t xml:space="preserve">race </w:t>
      </w:r>
      <w:r w:rsidR="00F81038">
        <w:rPr>
          <w:rFonts w:ascii="Times" w:hAnsi="Times"/>
        </w:rPr>
        <w:t xml:space="preserve">circumstances, </w:t>
      </w:r>
      <w:r w:rsidR="0073310C">
        <w:rPr>
          <w:rFonts w:ascii="Times" w:hAnsi="Times"/>
        </w:rPr>
        <w:t xml:space="preserve">both Democrats and Republicans would receive 48.9% of vote share. </w:t>
      </w:r>
      <w:r w:rsidR="00B964D5">
        <w:rPr>
          <w:rFonts w:ascii="Times" w:hAnsi="Times"/>
        </w:rPr>
        <w:t xml:space="preserve">However, the competitiveness fares less well under </w:t>
      </w:r>
      <w:r w:rsidR="00D01A17">
        <w:rPr>
          <w:rFonts w:ascii="Times" w:hAnsi="Times"/>
        </w:rPr>
        <w:t xml:space="preserve">other electoral scenarios. </w:t>
      </w:r>
      <w:r w:rsidR="00B964D5">
        <w:rPr>
          <w:rFonts w:ascii="Times" w:hAnsi="Times"/>
        </w:rPr>
        <w:t>Under 20</w:t>
      </w:r>
      <w:r w:rsidR="00D01A17">
        <w:rPr>
          <w:rFonts w:ascii="Times" w:hAnsi="Times"/>
        </w:rPr>
        <w:t>20</w:t>
      </w:r>
      <w:r w:rsidR="00B964D5">
        <w:rPr>
          <w:rFonts w:ascii="Times" w:hAnsi="Times"/>
        </w:rPr>
        <w:t xml:space="preserve"> Senate race circumstances, a Demo</w:t>
      </w:r>
      <w:r w:rsidR="00D01A17">
        <w:rPr>
          <w:rFonts w:ascii="Times" w:hAnsi="Times"/>
        </w:rPr>
        <w:t xml:space="preserve">crat would win with 51% of the vote share, while under </w:t>
      </w:r>
      <w:r w:rsidR="00D01A17">
        <w:rPr>
          <w:rFonts w:ascii="Times" w:hAnsi="Times"/>
        </w:rPr>
        <w:t>20</w:t>
      </w:r>
      <w:r w:rsidR="00D01A17">
        <w:rPr>
          <w:rFonts w:ascii="Times" w:hAnsi="Times"/>
        </w:rPr>
        <w:t>16</w:t>
      </w:r>
      <w:r w:rsidR="00D01A17">
        <w:rPr>
          <w:rFonts w:ascii="Times" w:hAnsi="Times"/>
        </w:rPr>
        <w:t xml:space="preserve"> presidential race circumstances</w:t>
      </w:r>
      <w:r w:rsidR="00D01A17">
        <w:rPr>
          <w:rFonts w:ascii="Times" w:hAnsi="Times"/>
        </w:rPr>
        <w:t xml:space="preserve">, a Republican would win with </w:t>
      </w:r>
      <w:r w:rsidR="00DC3595">
        <w:rPr>
          <w:rFonts w:ascii="Times" w:hAnsi="Times"/>
        </w:rPr>
        <w:t>53%.</w:t>
      </w:r>
      <w:r w:rsidR="00775E6B">
        <w:rPr>
          <w:rFonts w:ascii="Times" w:hAnsi="Times"/>
        </w:rPr>
        <w:t xml:space="preserve"> </w:t>
      </w:r>
      <w:r w:rsidR="00AA6F19">
        <w:rPr>
          <w:rFonts w:ascii="Times" w:hAnsi="Times"/>
        </w:rPr>
        <w:t xml:space="preserve">Dave’s finds a 59.6% Democratic lean, while Plan Score finds a 53% Democratic one for the same district. </w:t>
      </w:r>
      <w:r w:rsidR="00C973F9">
        <w:rPr>
          <w:rFonts w:ascii="Times" w:hAnsi="Times"/>
        </w:rPr>
        <w:t>Given the disparities of these findings, I believe the 2020 vote share metric is most reliable and therefore a marker of a competitive district.</w:t>
      </w:r>
      <w:r w:rsidR="00063852">
        <w:rPr>
          <w:rFonts w:ascii="Times" w:hAnsi="Times"/>
        </w:rPr>
        <w:t xml:space="preserve"> </w:t>
      </w:r>
    </w:p>
    <w:p w14:paraId="44F8F776" w14:textId="71A21FD5" w:rsidR="00143BC2" w:rsidRPr="006D7380" w:rsidRDefault="00143BC2" w:rsidP="00143BC2">
      <w:pPr>
        <w:spacing w:line="480" w:lineRule="auto"/>
        <w:rPr>
          <w:rFonts w:ascii="Times" w:hAnsi="Times"/>
          <w:b/>
          <w:bCs/>
        </w:rPr>
      </w:pPr>
      <w:r w:rsidRPr="006D7380">
        <w:rPr>
          <w:rFonts w:ascii="Times" w:hAnsi="Times"/>
          <w:b/>
          <w:bCs/>
        </w:rPr>
        <w:t>Compactness and Political Subdivision Splits</w:t>
      </w:r>
    </w:p>
    <w:p w14:paraId="73AC2C55" w14:textId="03D5F6DE" w:rsidR="00C973F9" w:rsidRPr="006D7380" w:rsidRDefault="00C973F9" w:rsidP="00E073E4">
      <w:pPr>
        <w:spacing w:line="480" w:lineRule="auto"/>
        <w:ind w:firstLine="720"/>
        <w:jc w:val="both"/>
        <w:rPr>
          <w:rFonts w:ascii="TimesNewRomanPSMT" w:hAnsi="TimesNewRomanPSMT"/>
        </w:rPr>
      </w:pPr>
      <w:r w:rsidRPr="006D7380">
        <w:rPr>
          <w:rFonts w:ascii="Times" w:hAnsi="Times"/>
          <w:b/>
          <w:bCs/>
        </w:rPr>
        <w:tab/>
      </w:r>
      <w:r w:rsidR="00E073E4" w:rsidRPr="006D7380">
        <w:rPr>
          <w:rFonts w:ascii="TimesNewRomanPSMT" w:hAnsi="TimesNewRomanPSMT"/>
        </w:rPr>
        <w:t xml:space="preserve">This plan only contains 11 splits, outperforming the 14 splits in the 2016 maps and underperforming the </w:t>
      </w:r>
      <w:proofErr w:type="spellStart"/>
      <w:r w:rsidR="00E073E4" w:rsidRPr="006D7380">
        <w:rPr>
          <w:rFonts w:ascii="TimesNewRomanPSMT" w:hAnsi="TimesNewRomanPSMT"/>
        </w:rPr>
        <w:t>Grofman-Trende</w:t>
      </w:r>
      <w:proofErr w:type="spellEnd"/>
      <w:r w:rsidR="00E073E4" w:rsidRPr="006D7380">
        <w:rPr>
          <w:rFonts w:ascii="TimesNewRomanPSMT" w:hAnsi="TimesNewRomanPSMT"/>
        </w:rPr>
        <w:t xml:space="preserve"> Plan which only has 9 splits. </w:t>
      </w:r>
      <w:r w:rsidR="00E073E4" w:rsidRPr="006D7380">
        <w:rPr>
          <w:rFonts w:ascii="Times" w:hAnsi="Times"/>
        </w:rPr>
        <w:t xml:space="preserve">As for compactness, </w:t>
      </w:r>
      <w:r w:rsidR="00E073E4" w:rsidRPr="006D7380">
        <w:rPr>
          <w:rFonts w:ascii="TimesNewRomanPSMT" w:hAnsi="TimesNewRomanPSMT"/>
        </w:rPr>
        <w:t xml:space="preserve">it </w:t>
      </w:r>
      <w:r w:rsidR="00E750E7" w:rsidRPr="006D7380">
        <w:rPr>
          <w:rFonts w:ascii="TimesNewRomanPSMT" w:hAnsi="TimesNewRomanPSMT"/>
        </w:rPr>
        <w:t>underperforms</w:t>
      </w:r>
      <w:r w:rsidR="00E073E4" w:rsidRPr="006D7380">
        <w:rPr>
          <w:rFonts w:ascii="TimesNewRomanPSMT" w:hAnsi="TimesNewRomanPSMT"/>
        </w:rPr>
        <w:t xml:space="preserve"> the </w:t>
      </w:r>
      <w:proofErr w:type="spellStart"/>
      <w:r w:rsidR="00E073E4" w:rsidRPr="006D7380">
        <w:rPr>
          <w:rFonts w:ascii="TimesNewRomanPSMT" w:hAnsi="TimesNewRomanPSMT"/>
        </w:rPr>
        <w:t>Grofman-Trende</w:t>
      </w:r>
      <w:proofErr w:type="spellEnd"/>
      <w:r w:rsidR="00E073E4" w:rsidRPr="006D7380">
        <w:rPr>
          <w:rFonts w:ascii="TimesNewRomanPSMT" w:hAnsi="TimesNewRomanPSMT"/>
        </w:rPr>
        <w:t xml:space="preserve"> plan on </w:t>
      </w:r>
      <w:proofErr w:type="spellStart"/>
      <w:r w:rsidR="00E073E4" w:rsidRPr="006D7380">
        <w:rPr>
          <w:rFonts w:ascii="TimesNewRomanPSMT" w:hAnsi="TimesNewRomanPSMT"/>
        </w:rPr>
        <w:t>Reock</w:t>
      </w:r>
      <w:proofErr w:type="spellEnd"/>
      <w:r w:rsidR="00E073E4" w:rsidRPr="006D7380">
        <w:rPr>
          <w:rFonts w:ascii="TimesNewRomanPSMT" w:hAnsi="TimesNewRomanPSMT"/>
        </w:rPr>
        <w:t xml:space="preserve"> scores in </w:t>
      </w:r>
      <w:proofErr w:type="gramStart"/>
      <w:r w:rsidR="00E750E7" w:rsidRPr="006D7380">
        <w:rPr>
          <w:rFonts w:ascii="TimesNewRomanPSMT" w:hAnsi="TimesNewRomanPSMT"/>
        </w:rPr>
        <w:t>the majority of</w:t>
      </w:r>
      <w:proofErr w:type="gramEnd"/>
      <w:r w:rsidR="00E750E7" w:rsidRPr="006D7380">
        <w:rPr>
          <w:rFonts w:ascii="TimesNewRomanPSMT" w:hAnsi="TimesNewRomanPSMT"/>
        </w:rPr>
        <w:t xml:space="preserve"> d</w:t>
      </w:r>
      <w:r w:rsidR="00E073E4" w:rsidRPr="006D7380">
        <w:rPr>
          <w:rFonts w:ascii="TimesNewRomanPSMT" w:hAnsi="TimesNewRomanPSMT"/>
        </w:rPr>
        <w:t>istricts.</w:t>
      </w:r>
      <w:r w:rsidR="00E750E7" w:rsidRPr="006D7380">
        <w:rPr>
          <w:rFonts w:ascii="TimesNewRomanPSMT" w:hAnsi="TimesNewRomanPSMT"/>
        </w:rPr>
        <w:t xml:space="preserve"> Compactness was generally sacrificed for proportionality </w:t>
      </w:r>
      <w:r w:rsidR="00D33DC9" w:rsidRPr="006D7380">
        <w:rPr>
          <w:rFonts w:ascii="TimesNewRomanPSMT" w:hAnsi="TimesNewRomanPSMT"/>
        </w:rPr>
        <w:t>because creating safe seats meant joining the liberal urban areas in the north and southeast parts of the state with more distant conservative regions.</w:t>
      </w:r>
    </w:p>
    <w:p w14:paraId="1E3A4AE7" w14:textId="04569817" w:rsidR="00143BC2" w:rsidRPr="006D7380" w:rsidRDefault="00143BC2" w:rsidP="00143BC2">
      <w:pPr>
        <w:spacing w:line="480" w:lineRule="auto"/>
        <w:rPr>
          <w:rFonts w:ascii="Times" w:hAnsi="Times"/>
          <w:b/>
          <w:bCs/>
        </w:rPr>
      </w:pPr>
      <w:r w:rsidRPr="006D7380">
        <w:rPr>
          <w:rFonts w:ascii="Times" w:hAnsi="Times"/>
          <w:b/>
          <w:bCs/>
        </w:rPr>
        <w:t>Tradeoffs</w:t>
      </w:r>
    </w:p>
    <w:p w14:paraId="27762AF4" w14:textId="728B9337" w:rsidR="007521EB" w:rsidRPr="006D7380" w:rsidRDefault="00C973F9" w:rsidP="00143BC2">
      <w:pPr>
        <w:spacing w:line="480" w:lineRule="auto"/>
        <w:rPr>
          <w:rFonts w:ascii="Times" w:hAnsi="Times"/>
        </w:rPr>
      </w:pPr>
      <w:r w:rsidRPr="006D7380">
        <w:rPr>
          <w:rFonts w:ascii="Times" w:hAnsi="Times"/>
          <w:b/>
          <w:bCs/>
        </w:rPr>
        <w:tab/>
      </w:r>
      <w:r w:rsidR="006620A1" w:rsidRPr="006D7380">
        <w:rPr>
          <w:rFonts w:ascii="Times" w:hAnsi="Times"/>
        </w:rPr>
        <w:t>I</w:t>
      </w:r>
      <w:r w:rsidR="007521EB" w:rsidRPr="006D7380">
        <w:rPr>
          <w:rFonts w:ascii="Times" w:hAnsi="Times"/>
        </w:rPr>
        <w:t xml:space="preserve"> am</w:t>
      </w:r>
      <w:r w:rsidR="006620A1" w:rsidRPr="006D7380">
        <w:rPr>
          <w:rFonts w:ascii="Times" w:hAnsi="Times"/>
        </w:rPr>
        <w:t xml:space="preserve"> not convinced proportionality is</w:t>
      </w:r>
      <w:r w:rsidR="00BD0555" w:rsidRPr="006D7380">
        <w:rPr>
          <w:rFonts w:ascii="Times" w:hAnsi="Times"/>
        </w:rPr>
        <w:t xml:space="preserve"> a successful redistricting principle for a state like Virginia</w:t>
      </w:r>
      <w:r w:rsidR="007521EB" w:rsidRPr="006D7380">
        <w:rPr>
          <w:rFonts w:ascii="Times" w:hAnsi="Times"/>
        </w:rPr>
        <w:t xml:space="preserve"> that is consistently “purple”</w:t>
      </w:r>
      <w:r w:rsidR="00C31B2A" w:rsidRPr="006D7380">
        <w:rPr>
          <w:rFonts w:ascii="Times" w:hAnsi="Times"/>
        </w:rPr>
        <w:t xml:space="preserve"> on a statewide level but has deep political polarization </w:t>
      </w:r>
      <w:r w:rsidR="00C65046" w:rsidRPr="006D7380">
        <w:rPr>
          <w:rFonts w:ascii="Times" w:hAnsi="Times"/>
        </w:rPr>
        <w:t>along geographic lines.</w:t>
      </w:r>
      <w:r w:rsidR="005D6911" w:rsidRPr="006D7380">
        <w:rPr>
          <w:rFonts w:ascii="Times" w:hAnsi="Times"/>
        </w:rPr>
        <w:t xml:space="preserve"> Because statewide data determines the number of seats to allocate to each party</w:t>
      </w:r>
      <w:r w:rsidR="00832050">
        <w:rPr>
          <w:rFonts w:ascii="Times" w:hAnsi="Times"/>
        </w:rPr>
        <w:t xml:space="preserve"> but is not actually representative of the polariz</w:t>
      </w:r>
      <w:r w:rsidR="00BA3D58">
        <w:rPr>
          <w:rFonts w:ascii="Times" w:hAnsi="Times"/>
        </w:rPr>
        <w:t xml:space="preserve">ation of an individual place, </w:t>
      </w:r>
      <w:r w:rsidR="007F3028">
        <w:rPr>
          <w:rFonts w:ascii="Times" w:hAnsi="Times"/>
        </w:rPr>
        <w:t>using this principle to redistrict assigns a certain</w:t>
      </w:r>
      <w:r w:rsidR="00022D87">
        <w:rPr>
          <w:rFonts w:ascii="Times" w:hAnsi="Times"/>
        </w:rPr>
        <w:t xml:space="preserve"> balance to the state that </w:t>
      </w:r>
      <w:r w:rsidR="0013346B">
        <w:rPr>
          <w:rFonts w:ascii="Times" w:hAnsi="Times"/>
        </w:rPr>
        <w:t xml:space="preserve">may not reflect what </w:t>
      </w:r>
      <w:r w:rsidR="00662766">
        <w:rPr>
          <w:rFonts w:ascii="Times" w:hAnsi="Times"/>
        </w:rPr>
        <w:t xml:space="preserve">voters </w:t>
      </w:r>
      <w:r w:rsidR="00022D87">
        <w:rPr>
          <w:rFonts w:ascii="Times" w:hAnsi="Times"/>
        </w:rPr>
        <w:t xml:space="preserve">want. This plan illustrates that </w:t>
      </w:r>
      <w:r w:rsidR="003C0A45">
        <w:rPr>
          <w:rFonts w:ascii="Times" w:hAnsi="Times"/>
        </w:rPr>
        <w:t xml:space="preserve">tension </w:t>
      </w:r>
      <w:r w:rsidR="00022D87">
        <w:rPr>
          <w:rFonts w:ascii="Times" w:hAnsi="Times"/>
        </w:rPr>
        <w:t>well</w:t>
      </w:r>
      <w:r w:rsidR="003C0A45">
        <w:rPr>
          <w:rFonts w:ascii="Times" w:hAnsi="Times"/>
        </w:rPr>
        <w:t>. S</w:t>
      </w:r>
      <w:r w:rsidR="00022D87">
        <w:rPr>
          <w:rFonts w:ascii="Times" w:hAnsi="Times"/>
        </w:rPr>
        <w:t xml:space="preserve">tatewide data </w:t>
      </w:r>
      <w:r w:rsidR="003C0A45">
        <w:rPr>
          <w:rFonts w:ascii="Times" w:hAnsi="Times"/>
        </w:rPr>
        <w:t>indicates that</w:t>
      </w:r>
      <w:r w:rsidR="00022D87">
        <w:rPr>
          <w:rFonts w:ascii="Times" w:hAnsi="Times"/>
        </w:rPr>
        <w:t xml:space="preserve"> </w:t>
      </w:r>
      <w:r w:rsidR="0049537E">
        <w:rPr>
          <w:rFonts w:ascii="Times" w:hAnsi="Times"/>
        </w:rPr>
        <w:t xml:space="preserve">voters </w:t>
      </w:r>
      <w:r w:rsidR="003C0A45">
        <w:rPr>
          <w:rFonts w:ascii="Times" w:hAnsi="Times"/>
        </w:rPr>
        <w:t xml:space="preserve">would </w:t>
      </w:r>
      <w:r w:rsidR="0049537E">
        <w:rPr>
          <w:rFonts w:ascii="Times" w:hAnsi="Times"/>
        </w:rPr>
        <w:t xml:space="preserve">want </w:t>
      </w:r>
      <w:r w:rsidR="0013346B">
        <w:rPr>
          <w:rFonts w:ascii="Times" w:hAnsi="Times"/>
        </w:rPr>
        <w:t>five</w:t>
      </w:r>
      <w:r w:rsidR="0049537E">
        <w:rPr>
          <w:rFonts w:ascii="Times" w:hAnsi="Times"/>
        </w:rPr>
        <w:t xml:space="preserve"> </w:t>
      </w:r>
      <w:r w:rsidR="0049537E">
        <w:rPr>
          <w:rFonts w:ascii="Times" w:hAnsi="Times"/>
        </w:rPr>
        <w:lastRenderedPageBreak/>
        <w:t xml:space="preserve">Republican, </w:t>
      </w:r>
      <w:r w:rsidR="0013346B">
        <w:rPr>
          <w:rFonts w:ascii="Times" w:hAnsi="Times"/>
        </w:rPr>
        <w:t>five</w:t>
      </w:r>
      <w:r w:rsidR="0049537E">
        <w:rPr>
          <w:rFonts w:ascii="Times" w:hAnsi="Times"/>
        </w:rPr>
        <w:t xml:space="preserve"> Democratic, and </w:t>
      </w:r>
      <w:r w:rsidR="0013346B">
        <w:rPr>
          <w:rFonts w:ascii="Times" w:hAnsi="Times"/>
        </w:rPr>
        <w:t>one</w:t>
      </w:r>
      <w:r w:rsidR="0049537E">
        <w:rPr>
          <w:rFonts w:ascii="Times" w:hAnsi="Times"/>
        </w:rPr>
        <w:t xml:space="preserve"> competitive </w:t>
      </w:r>
      <w:proofErr w:type="gramStart"/>
      <w:r w:rsidR="0049537E">
        <w:rPr>
          <w:rFonts w:ascii="Times" w:hAnsi="Times"/>
        </w:rPr>
        <w:t>seat</w:t>
      </w:r>
      <w:r w:rsidR="0013346B">
        <w:rPr>
          <w:rFonts w:ascii="Times" w:hAnsi="Times"/>
        </w:rPr>
        <w:t>s</w:t>
      </w:r>
      <w:proofErr w:type="gramEnd"/>
      <w:r w:rsidR="003C0A45">
        <w:rPr>
          <w:rFonts w:ascii="Times" w:hAnsi="Times"/>
        </w:rPr>
        <w:t xml:space="preserve">. </w:t>
      </w:r>
      <w:r w:rsidR="001A037B">
        <w:rPr>
          <w:rFonts w:ascii="Times" w:hAnsi="Times"/>
        </w:rPr>
        <w:t>However, in 2020</w:t>
      </w:r>
      <w:r w:rsidR="003C0A45">
        <w:rPr>
          <w:rFonts w:ascii="Times" w:hAnsi="Times"/>
        </w:rPr>
        <w:t>, they elect</w:t>
      </w:r>
      <w:r w:rsidR="001A037B">
        <w:rPr>
          <w:rFonts w:ascii="Times" w:hAnsi="Times"/>
        </w:rPr>
        <w:t>ed</w:t>
      </w:r>
      <w:r w:rsidR="003C0A45">
        <w:rPr>
          <w:rFonts w:ascii="Times" w:hAnsi="Times"/>
        </w:rPr>
        <w:t xml:space="preserve"> </w:t>
      </w:r>
      <w:r w:rsidR="0013346B">
        <w:rPr>
          <w:rFonts w:ascii="Times" w:hAnsi="Times"/>
        </w:rPr>
        <w:t>seven</w:t>
      </w:r>
      <w:r w:rsidR="003C0A45">
        <w:rPr>
          <w:rFonts w:ascii="Times" w:hAnsi="Times"/>
        </w:rPr>
        <w:t xml:space="preserve"> Democrats and </w:t>
      </w:r>
      <w:r w:rsidR="0013346B">
        <w:rPr>
          <w:rFonts w:ascii="Times" w:hAnsi="Times"/>
        </w:rPr>
        <w:t>four</w:t>
      </w:r>
      <w:r w:rsidR="003C0A45">
        <w:rPr>
          <w:rFonts w:ascii="Times" w:hAnsi="Times"/>
        </w:rPr>
        <w:t xml:space="preserve"> Republicans</w:t>
      </w:r>
      <w:r w:rsidR="00AD41AA">
        <w:rPr>
          <w:rFonts w:ascii="Times" w:hAnsi="Times"/>
        </w:rPr>
        <w:t>. House of Representatives elections occur every two years</w:t>
      </w:r>
      <w:r w:rsidR="001A037B">
        <w:rPr>
          <w:rFonts w:ascii="Times" w:hAnsi="Times"/>
        </w:rPr>
        <w:t xml:space="preserve"> and are more geographically constrained</w:t>
      </w:r>
      <w:r w:rsidR="00AD41AA">
        <w:rPr>
          <w:rFonts w:ascii="Times" w:hAnsi="Times"/>
        </w:rPr>
        <w:t xml:space="preserve">, </w:t>
      </w:r>
      <w:r w:rsidR="001A037B">
        <w:rPr>
          <w:rFonts w:ascii="Times" w:hAnsi="Times"/>
        </w:rPr>
        <w:t>so</w:t>
      </w:r>
      <w:r w:rsidR="00AD41AA">
        <w:rPr>
          <w:rFonts w:ascii="Times" w:hAnsi="Times"/>
        </w:rPr>
        <w:t xml:space="preserve"> </w:t>
      </w:r>
      <w:r w:rsidR="00B11C94">
        <w:rPr>
          <w:rFonts w:ascii="Times" w:hAnsi="Times"/>
        </w:rPr>
        <w:t>outcomes of</w:t>
      </w:r>
      <w:r w:rsidR="00AD41AA">
        <w:rPr>
          <w:rFonts w:ascii="Times" w:hAnsi="Times"/>
        </w:rPr>
        <w:t xml:space="preserve"> those elections</w:t>
      </w:r>
      <w:r w:rsidR="001A037B">
        <w:rPr>
          <w:rFonts w:ascii="Times" w:hAnsi="Times"/>
        </w:rPr>
        <w:t xml:space="preserve"> are</w:t>
      </w:r>
      <w:r w:rsidR="00AD41AA">
        <w:rPr>
          <w:rFonts w:ascii="Times" w:hAnsi="Times"/>
        </w:rPr>
        <w:t xml:space="preserve"> more reflective of </w:t>
      </w:r>
      <w:r w:rsidR="00B11C94">
        <w:rPr>
          <w:rFonts w:ascii="Times" w:hAnsi="Times"/>
        </w:rPr>
        <w:t>voters’</w:t>
      </w:r>
      <w:r w:rsidR="00AD41AA">
        <w:rPr>
          <w:rFonts w:ascii="Times" w:hAnsi="Times"/>
        </w:rPr>
        <w:t xml:space="preserve"> current preferences than </w:t>
      </w:r>
      <w:r w:rsidR="001A037B">
        <w:rPr>
          <w:rFonts w:ascii="Times" w:hAnsi="Times"/>
        </w:rPr>
        <w:t>th</w:t>
      </w:r>
      <w:r w:rsidR="00B11C94">
        <w:rPr>
          <w:rFonts w:ascii="Times" w:hAnsi="Times"/>
        </w:rPr>
        <w:t>ose of</w:t>
      </w:r>
      <w:r w:rsidR="00AD41AA">
        <w:rPr>
          <w:rFonts w:ascii="Times" w:hAnsi="Times"/>
        </w:rPr>
        <w:t xml:space="preserve"> statewide elections. </w:t>
      </w:r>
      <w:r w:rsidR="00575196">
        <w:rPr>
          <w:rFonts w:ascii="Times" w:hAnsi="Times"/>
        </w:rPr>
        <w:t>T</w:t>
      </w:r>
      <w:r w:rsidR="00320875">
        <w:rPr>
          <w:rFonts w:ascii="Times" w:hAnsi="Times"/>
        </w:rPr>
        <w:t>hat the median Democratic district, the 10</w:t>
      </w:r>
      <w:r w:rsidR="00320875" w:rsidRPr="00320875">
        <w:rPr>
          <w:rFonts w:ascii="Times" w:hAnsi="Times"/>
          <w:vertAlign w:val="superscript"/>
        </w:rPr>
        <w:t>th</w:t>
      </w:r>
      <w:r w:rsidR="00320875">
        <w:rPr>
          <w:rFonts w:ascii="Times" w:hAnsi="Times"/>
        </w:rPr>
        <w:t xml:space="preserve"> District, </w:t>
      </w:r>
      <w:r w:rsidR="00604D6F">
        <w:rPr>
          <w:rFonts w:ascii="Times" w:hAnsi="Times"/>
        </w:rPr>
        <w:t xml:space="preserve">is only one point more Republican than </w:t>
      </w:r>
      <w:r w:rsidR="003E6ABE">
        <w:rPr>
          <w:rFonts w:ascii="Times" w:hAnsi="Times"/>
        </w:rPr>
        <w:t xml:space="preserve">the entire state </w:t>
      </w:r>
      <w:r w:rsidR="00601C79">
        <w:rPr>
          <w:rFonts w:ascii="Times" w:hAnsi="Times"/>
        </w:rPr>
        <w:t>overall yet</w:t>
      </w:r>
      <w:r w:rsidR="003E6ABE">
        <w:rPr>
          <w:rFonts w:ascii="Times" w:hAnsi="Times"/>
        </w:rPr>
        <w:t xml:space="preserve"> goes on average for Democrats by a </w:t>
      </w:r>
      <w:r w:rsidR="00321B4E">
        <w:rPr>
          <w:rFonts w:ascii="Times" w:hAnsi="Times"/>
        </w:rPr>
        <w:t>seven-point</w:t>
      </w:r>
      <w:r w:rsidR="003E6ABE">
        <w:rPr>
          <w:rFonts w:ascii="Times" w:hAnsi="Times"/>
        </w:rPr>
        <w:t xml:space="preserve"> margi</w:t>
      </w:r>
      <w:r w:rsidR="00575196">
        <w:rPr>
          <w:rFonts w:ascii="Times" w:hAnsi="Times"/>
        </w:rPr>
        <w:t>n indicates how polarized the state is</w:t>
      </w:r>
      <w:r w:rsidR="00734D3A">
        <w:rPr>
          <w:rFonts w:ascii="Times" w:hAnsi="Times"/>
        </w:rPr>
        <w:t>. Using statewide data, then, does not properly capture the depth of partisan leanings in particular places.</w:t>
      </w:r>
      <w:r w:rsidR="00BB4664">
        <w:rPr>
          <w:rFonts w:ascii="Times" w:hAnsi="Times"/>
        </w:rPr>
        <w:t xml:space="preserve"> </w:t>
      </w:r>
    </w:p>
    <w:p w14:paraId="09E2FFCE" w14:textId="042209A2" w:rsidR="00DC62FA" w:rsidRDefault="00734D3A" w:rsidP="00143BC2">
      <w:pPr>
        <w:spacing w:line="480" w:lineRule="auto"/>
        <w:rPr>
          <w:rFonts w:ascii="Times" w:hAnsi="Times"/>
        </w:rPr>
      </w:pPr>
      <w:r w:rsidRPr="00734D3A">
        <w:rPr>
          <w:rFonts w:ascii="Times" w:hAnsi="Times"/>
        </w:rPr>
        <w:tab/>
      </w:r>
      <w:r>
        <w:rPr>
          <w:rFonts w:ascii="Times" w:hAnsi="Times"/>
        </w:rPr>
        <w:t xml:space="preserve">It is also worth mentioning that the </w:t>
      </w:r>
      <w:proofErr w:type="spellStart"/>
      <w:r>
        <w:rPr>
          <w:rFonts w:ascii="Times" w:hAnsi="Times"/>
        </w:rPr>
        <w:t>Grofman-Trende</w:t>
      </w:r>
      <w:proofErr w:type="spellEnd"/>
      <w:r>
        <w:rPr>
          <w:rFonts w:ascii="Times" w:hAnsi="Times"/>
        </w:rPr>
        <w:t xml:space="preserve"> plan reached perfect proportionality by Dave’s measure without consulting political data</w:t>
      </w:r>
      <w:r w:rsidR="00C14F44">
        <w:rPr>
          <w:rFonts w:ascii="Times" w:hAnsi="Times"/>
        </w:rPr>
        <w:t>, except at the end</w:t>
      </w:r>
      <w:r w:rsidR="00625136">
        <w:rPr>
          <w:rFonts w:ascii="Times" w:hAnsi="Times"/>
        </w:rPr>
        <w:t xml:space="preserve"> when they ensured their maps did not unduly favor either party</w:t>
      </w:r>
      <w:r>
        <w:rPr>
          <w:rFonts w:ascii="Times" w:hAnsi="Times"/>
        </w:rPr>
        <w:t>.</w:t>
      </w:r>
      <w:r>
        <w:rPr>
          <w:rStyle w:val="FootnoteReference"/>
          <w:rFonts w:ascii="Times" w:hAnsi="Times"/>
        </w:rPr>
        <w:footnoteReference w:id="48"/>
      </w:r>
      <w:r w:rsidR="00625136">
        <w:rPr>
          <w:rFonts w:ascii="Times" w:hAnsi="Times"/>
        </w:rPr>
        <w:t xml:space="preserve"> </w:t>
      </w:r>
      <w:r w:rsidR="004C2889">
        <w:rPr>
          <w:rFonts w:ascii="Times" w:hAnsi="Times"/>
        </w:rPr>
        <w:t xml:space="preserve">Their ability to reach proportionality without consulting partisan data suggests that redistricting </w:t>
      </w:r>
      <w:r w:rsidR="000550A5">
        <w:rPr>
          <w:rFonts w:ascii="Times" w:hAnsi="Times"/>
        </w:rPr>
        <w:t>solely on</w:t>
      </w:r>
      <w:r w:rsidR="004C2889">
        <w:rPr>
          <w:rFonts w:ascii="Times" w:hAnsi="Times"/>
        </w:rPr>
        <w:t xml:space="preserve"> knowledge of residence, participation in communities of interest, and other demographic data may lead to more representative maps than those for which partisan data is the main consideration.</w:t>
      </w:r>
      <w:r w:rsidR="000A4326">
        <w:rPr>
          <w:rFonts w:ascii="Times" w:hAnsi="Times"/>
        </w:rPr>
        <w:t xml:space="preserve"> Political science research confirms that urban/rural residency, race, socioeconomic status, </w:t>
      </w:r>
      <w:r w:rsidR="000550A5">
        <w:rPr>
          <w:rFonts w:ascii="Times" w:hAnsi="Times"/>
        </w:rPr>
        <w:t>etc.</w:t>
      </w:r>
      <w:r w:rsidR="00517913">
        <w:rPr>
          <w:rFonts w:ascii="Times" w:hAnsi="Times"/>
        </w:rPr>
        <w:t>,</w:t>
      </w:r>
      <w:r w:rsidR="000A4326">
        <w:rPr>
          <w:rFonts w:ascii="Times" w:hAnsi="Times"/>
        </w:rPr>
        <w:t xml:space="preserve"> can be effective proxies for partisan preference.</w:t>
      </w:r>
      <w:r w:rsidR="00637456">
        <w:rPr>
          <w:rFonts w:ascii="Times" w:hAnsi="Times"/>
        </w:rPr>
        <w:t xml:space="preserve"> </w:t>
      </w:r>
      <w:r w:rsidR="00A419AB">
        <w:rPr>
          <w:rFonts w:ascii="Times" w:hAnsi="Times"/>
        </w:rPr>
        <w:t>It is possible</w:t>
      </w:r>
      <w:r w:rsidR="00637456">
        <w:rPr>
          <w:rFonts w:ascii="Times" w:hAnsi="Times"/>
        </w:rPr>
        <w:t xml:space="preserve"> that using such data (within legal constraints)</w:t>
      </w:r>
      <w:r w:rsidR="00A419AB">
        <w:rPr>
          <w:rFonts w:ascii="Times" w:hAnsi="Times"/>
        </w:rPr>
        <w:t xml:space="preserve"> might</w:t>
      </w:r>
      <w:r w:rsidR="00517913">
        <w:rPr>
          <w:rFonts w:ascii="Times" w:hAnsi="Times"/>
        </w:rPr>
        <w:t xml:space="preserve"> then</w:t>
      </w:r>
      <w:r w:rsidR="00A419AB">
        <w:rPr>
          <w:rFonts w:ascii="Times" w:hAnsi="Times"/>
        </w:rPr>
        <w:t xml:space="preserve"> lead to the most representative map</w:t>
      </w:r>
      <w:r w:rsidR="00B92850">
        <w:rPr>
          <w:rFonts w:ascii="Times" w:hAnsi="Times"/>
        </w:rPr>
        <w:t xml:space="preserve"> and still prevent partisan gerrymanders</w:t>
      </w:r>
      <w:r w:rsidR="00A419AB">
        <w:rPr>
          <w:rFonts w:ascii="Times" w:hAnsi="Times"/>
        </w:rPr>
        <w:t>.</w:t>
      </w:r>
    </w:p>
    <w:p w14:paraId="29B5BB46" w14:textId="77777777" w:rsidR="007703D6" w:rsidRDefault="00CA51CE" w:rsidP="007703D6">
      <w:pPr>
        <w:spacing w:line="480" w:lineRule="auto"/>
        <w:jc w:val="center"/>
        <w:rPr>
          <w:rFonts w:ascii="Times" w:hAnsi="Times"/>
          <w:b/>
          <w:bCs/>
          <w:sz w:val="32"/>
          <w:szCs w:val="32"/>
        </w:rPr>
      </w:pPr>
      <w:r>
        <w:rPr>
          <w:rFonts w:ascii="Times" w:hAnsi="Times"/>
          <w:b/>
          <w:bCs/>
          <w:sz w:val="32"/>
          <w:szCs w:val="32"/>
        </w:rPr>
        <w:t>Conclusion</w:t>
      </w:r>
    </w:p>
    <w:p w14:paraId="52553144" w14:textId="2E83ADE8" w:rsidR="00CA51CE" w:rsidRPr="00FA5F1F" w:rsidRDefault="00C37C0F" w:rsidP="004952FE">
      <w:pPr>
        <w:spacing w:line="480" w:lineRule="auto"/>
        <w:ind w:firstLine="720"/>
        <w:rPr>
          <w:rFonts w:ascii="Times" w:hAnsi="Times"/>
        </w:rPr>
      </w:pPr>
      <w:r w:rsidRPr="00E65490">
        <w:rPr>
          <w:rFonts w:ascii="Times" w:hAnsi="Times"/>
        </w:rPr>
        <w:t>The 2020 redistricting cycle brought many changes for Virginia. The Commonwealth sought a fairer process than it had in cycles’ pas</w:t>
      </w:r>
      <w:r w:rsidR="00FD3F2C" w:rsidRPr="00E65490">
        <w:rPr>
          <w:rFonts w:ascii="Times" w:hAnsi="Times"/>
        </w:rPr>
        <w:t xml:space="preserve">t. It witnessed </w:t>
      </w:r>
      <w:r w:rsidR="00250D73" w:rsidRPr="00E65490">
        <w:rPr>
          <w:rFonts w:ascii="Times" w:hAnsi="Times"/>
        </w:rPr>
        <w:t>larger</w:t>
      </w:r>
      <w:r w:rsidR="00FD3F2C" w:rsidRPr="00E65490">
        <w:rPr>
          <w:rFonts w:ascii="Times" w:hAnsi="Times"/>
        </w:rPr>
        <w:t xml:space="preserve"> Hispanic and Asian American populations</w:t>
      </w:r>
      <w:r w:rsidR="00250D73" w:rsidRPr="00E65490">
        <w:rPr>
          <w:rFonts w:ascii="Times" w:hAnsi="Times"/>
        </w:rPr>
        <w:t xml:space="preserve"> than it had seen before</w:t>
      </w:r>
      <w:r w:rsidR="00FD3F2C" w:rsidRPr="00E65490">
        <w:rPr>
          <w:rFonts w:ascii="Times" w:hAnsi="Times"/>
        </w:rPr>
        <w:t xml:space="preserve"> </w:t>
      </w:r>
      <w:r w:rsidR="00250D73" w:rsidRPr="00E65490">
        <w:rPr>
          <w:rFonts w:ascii="Times" w:hAnsi="Times"/>
        </w:rPr>
        <w:t>as well as extensive population</w:t>
      </w:r>
      <w:r w:rsidR="008701AF" w:rsidRPr="00E65490">
        <w:rPr>
          <w:rFonts w:ascii="Times" w:hAnsi="Times"/>
        </w:rPr>
        <w:t xml:space="preserve"> growth in</w:t>
      </w:r>
      <w:r w:rsidR="00FD3F2C" w:rsidRPr="00E65490">
        <w:rPr>
          <w:rFonts w:ascii="Times" w:hAnsi="Times"/>
        </w:rPr>
        <w:t xml:space="preserve"> </w:t>
      </w:r>
      <w:r w:rsidR="00250D73" w:rsidRPr="00E65490">
        <w:rPr>
          <w:rFonts w:ascii="Times" w:hAnsi="Times"/>
        </w:rPr>
        <w:t xml:space="preserve">northern </w:t>
      </w:r>
      <w:r w:rsidR="00FD3F2C" w:rsidRPr="00E65490">
        <w:rPr>
          <w:rFonts w:ascii="Times" w:hAnsi="Times"/>
        </w:rPr>
        <w:t>urban areas</w:t>
      </w:r>
      <w:r w:rsidR="00250D73" w:rsidRPr="00E65490">
        <w:rPr>
          <w:rFonts w:ascii="Times" w:hAnsi="Times"/>
        </w:rPr>
        <w:t>.</w:t>
      </w:r>
      <w:r w:rsidR="00FD3F2C" w:rsidRPr="00E65490">
        <w:rPr>
          <w:rFonts w:ascii="Times" w:hAnsi="Times"/>
        </w:rPr>
        <w:t xml:space="preserve"> </w:t>
      </w:r>
      <w:r w:rsidR="00250D73" w:rsidRPr="00E65490">
        <w:rPr>
          <w:rFonts w:ascii="Times" w:hAnsi="Times"/>
        </w:rPr>
        <w:t xml:space="preserve">These changes were </w:t>
      </w:r>
      <w:r w:rsidR="008701AF" w:rsidRPr="00E65490">
        <w:rPr>
          <w:rFonts w:ascii="Times" w:hAnsi="Times"/>
        </w:rPr>
        <w:t>offset by</w:t>
      </w:r>
      <w:r w:rsidR="00FD3F2C" w:rsidRPr="00E65490">
        <w:rPr>
          <w:rFonts w:ascii="Times" w:hAnsi="Times"/>
        </w:rPr>
        <w:t xml:space="preserve"> more </w:t>
      </w:r>
      <w:r w:rsidR="008701AF" w:rsidRPr="00E65490">
        <w:rPr>
          <w:rFonts w:ascii="Times" w:hAnsi="Times"/>
        </w:rPr>
        <w:t>modest</w:t>
      </w:r>
      <w:r w:rsidR="00FD3F2C" w:rsidRPr="00E65490">
        <w:rPr>
          <w:rFonts w:ascii="Times" w:hAnsi="Times"/>
        </w:rPr>
        <w:t xml:space="preserve"> growth </w:t>
      </w:r>
      <w:r w:rsidR="008701AF" w:rsidRPr="00E65490">
        <w:rPr>
          <w:rFonts w:ascii="Times" w:hAnsi="Times"/>
        </w:rPr>
        <w:t xml:space="preserve">amongst Black Virginians and </w:t>
      </w:r>
      <w:r w:rsidR="008701AF" w:rsidRPr="00E65490">
        <w:rPr>
          <w:rFonts w:ascii="Times" w:hAnsi="Times"/>
        </w:rPr>
        <w:lastRenderedPageBreak/>
        <w:t xml:space="preserve">population declines </w:t>
      </w:r>
      <w:r w:rsidR="00250D73" w:rsidRPr="00E65490">
        <w:rPr>
          <w:rFonts w:ascii="Times" w:hAnsi="Times"/>
        </w:rPr>
        <w:t>in southe</w:t>
      </w:r>
      <w:r w:rsidR="00E65490" w:rsidRPr="00E65490">
        <w:rPr>
          <w:rFonts w:ascii="Times" w:hAnsi="Times"/>
        </w:rPr>
        <w:t>rn cities</w:t>
      </w:r>
      <w:r w:rsidR="008701AF" w:rsidRPr="00E65490">
        <w:rPr>
          <w:rFonts w:ascii="Times" w:hAnsi="Times"/>
        </w:rPr>
        <w:t>.</w:t>
      </w:r>
      <w:r w:rsidRPr="00E65490">
        <w:rPr>
          <w:rFonts w:ascii="Times" w:hAnsi="Times"/>
        </w:rPr>
        <w:t xml:space="preserve"> </w:t>
      </w:r>
      <w:r w:rsidR="00E65490">
        <w:rPr>
          <w:rFonts w:ascii="Times" w:hAnsi="Times"/>
        </w:rPr>
        <w:t xml:space="preserve">The plans presented in this paper account for these changes and attempt to improve upon </w:t>
      </w:r>
      <w:r w:rsidR="00BF001F">
        <w:rPr>
          <w:rFonts w:ascii="Times" w:hAnsi="Times"/>
        </w:rPr>
        <w:t>past congressional plans.</w:t>
      </w:r>
      <w:r w:rsidR="00BF001F" w:rsidRPr="00BF001F">
        <w:rPr>
          <w:rFonts w:ascii="Times" w:hAnsi="Times"/>
        </w:rPr>
        <w:t xml:space="preserve"> </w:t>
      </w:r>
      <w:r w:rsidR="00BF001F" w:rsidRPr="00E65490">
        <w:rPr>
          <w:rFonts w:ascii="Times" w:hAnsi="Times"/>
        </w:rPr>
        <w:t xml:space="preserve">In all </w:t>
      </w:r>
      <w:r w:rsidR="00BF001F">
        <w:rPr>
          <w:rFonts w:ascii="Times" w:hAnsi="Times"/>
        </w:rPr>
        <w:t>plans presented here</w:t>
      </w:r>
      <w:r w:rsidR="00BF001F" w:rsidRPr="00E65490">
        <w:rPr>
          <w:rFonts w:ascii="Times" w:hAnsi="Times"/>
        </w:rPr>
        <w:t>, progress was made in reducing county splits and ensuring equal population amongst districts. In the first and third map, progress was made in protecting minority communities’ ability to elect the candidate of their choice. The second map helps document communities of interest that have been previously overlooked in the redistricting process.</w:t>
      </w:r>
      <w:r w:rsidR="00BF001F">
        <w:rPr>
          <w:rFonts w:ascii="Times" w:hAnsi="Times"/>
        </w:rPr>
        <w:t xml:space="preserve"> </w:t>
      </w:r>
      <w:r w:rsidR="006E3713" w:rsidRPr="00E65490">
        <w:rPr>
          <w:rFonts w:ascii="Times" w:hAnsi="Times"/>
        </w:rPr>
        <w:t xml:space="preserve">Even so, </w:t>
      </w:r>
      <w:r w:rsidR="00443607" w:rsidRPr="00E65490">
        <w:rPr>
          <w:rFonts w:ascii="Times" w:hAnsi="Times"/>
        </w:rPr>
        <w:t xml:space="preserve">no </w:t>
      </w:r>
      <w:r w:rsidR="00002489">
        <w:rPr>
          <w:rFonts w:ascii="Times" w:hAnsi="Times"/>
        </w:rPr>
        <w:t>plan</w:t>
      </w:r>
      <w:r w:rsidR="00443607" w:rsidRPr="00E65490">
        <w:rPr>
          <w:rFonts w:ascii="Times" w:hAnsi="Times"/>
        </w:rPr>
        <w:t xml:space="preserve"> is </w:t>
      </w:r>
      <w:r w:rsidR="00AB42B8" w:rsidRPr="00E65490">
        <w:rPr>
          <w:rFonts w:ascii="Times" w:hAnsi="Times"/>
        </w:rPr>
        <w:t>perfect,</w:t>
      </w:r>
      <w:r w:rsidR="00BF001F">
        <w:rPr>
          <w:rFonts w:ascii="Times" w:hAnsi="Times"/>
        </w:rPr>
        <w:t xml:space="preserve"> and</w:t>
      </w:r>
      <w:r w:rsidR="00002489">
        <w:rPr>
          <w:rFonts w:ascii="Times" w:hAnsi="Times"/>
        </w:rPr>
        <w:t xml:space="preserve"> each present</w:t>
      </w:r>
      <w:r w:rsidR="00CA5ECF">
        <w:rPr>
          <w:rFonts w:ascii="Times" w:hAnsi="Times"/>
        </w:rPr>
        <w:t>s its</w:t>
      </w:r>
      <w:r w:rsidR="00002489">
        <w:rPr>
          <w:rFonts w:ascii="Times" w:hAnsi="Times"/>
        </w:rPr>
        <w:t xml:space="preserve"> own pitfalls. For Good Government, </w:t>
      </w:r>
      <w:r w:rsidR="00F15153">
        <w:rPr>
          <w:rFonts w:ascii="Times" w:hAnsi="Times"/>
        </w:rPr>
        <w:t xml:space="preserve">it was significant departures from previous plans and subdivision splits in the southeast part of Virginia. For </w:t>
      </w:r>
      <w:r w:rsidR="00CA5ECF">
        <w:rPr>
          <w:rFonts w:ascii="Times" w:hAnsi="Times"/>
        </w:rPr>
        <w:t xml:space="preserve">Communities of Interest, it was </w:t>
      </w:r>
      <w:r w:rsidR="0014402E">
        <w:rPr>
          <w:rFonts w:ascii="Times" w:hAnsi="Times"/>
        </w:rPr>
        <w:t xml:space="preserve">VRA compliance and </w:t>
      </w:r>
      <w:r w:rsidR="001F7FDF">
        <w:rPr>
          <w:rFonts w:ascii="Times" w:hAnsi="Times"/>
        </w:rPr>
        <w:t xml:space="preserve">weaker community </w:t>
      </w:r>
      <w:r w:rsidR="000E33D2">
        <w:rPr>
          <w:rFonts w:ascii="Times" w:hAnsi="Times"/>
        </w:rPr>
        <w:t>ties amongst</w:t>
      </w:r>
      <w:r w:rsidR="001F7FDF">
        <w:rPr>
          <w:rFonts w:ascii="Times" w:hAnsi="Times"/>
        </w:rPr>
        <w:t xml:space="preserve"> two districts. For Proportional Representation, it was </w:t>
      </w:r>
      <w:r w:rsidR="00F97AE2">
        <w:rPr>
          <w:rFonts w:ascii="Times" w:hAnsi="Times"/>
        </w:rPr>
        <w:t>increasing</w:t>
      </w:r>
      <w:r w:rsidR="001F7FDF">
        <w:rPr>
          <w:rFonts w:ascii="Times" w:hAnsi="Times"/>
        </w:rPr>
        <w:t xml:space="preserve"> competitiveness</w:t>
      </w:r>
      <w:r w:rsidR="00F97AE2">
        <w:rPr>
          <w:rFonts w:ascii="Times" w:hAnsi="Times"/>
        </w:rPr>
        <w:t xml:space="preserve"> in non-competitive districts</w:t>
      </w:r>
      <w:r w:rsidR="001F7FDF">
        <w:rPr>
          <w:rFonts w:ascii="Times" w:hAnsi="Times"/>
        </w:rPr>
        <w:t xml:space="preserve"> to apportion the proper number of seats</w:t>
      </w:r>
      <w:r w:rsidR="00AB42B8">
        <w:rPr>
          <w:rFonts w:ascii="Times" w:hAnsi="Times"/>
        </w:rPr>
        <w:t xml:space="preserve"> to each party.</w:t>
      </w:r>
      <w:r w:rsidR="00734F56">
        <w:rPr>
          <w:rFonts w:ascii="Times" w:hAnsi="Times"/>
        </w:rPr>
        <w:t xml:space="preserve"> </w:t>
      </w:r>
      <w:r w:rsidR="00F97AE2">
        <w:rPr>
          <w:rFonts w:ascii="Times" w:hAnsi="Times"/>
        </w:rPr>
        <w:t>Taking</w:t>
      </w:r>
      <w:r w:rsidR="00734F56">
        <w:rPr>
          <w:rFonts w:ascii="Times" w:hAnsi="Times"/>
        </w:rPr>
        <w:t xml:space="preserve"> </w:t>
      </w:r>
      <w:r w:rsidR="00E770DD">
        <w:rPr>
          <w:rFonts w:ascii="Times" w:hAnsi="Times"/>
        </w:rPr>
        <w:t>a</w:t>
      </w:r>
      <w:r w:rsidR="00DA5E54">
        <w:rPr>
          <w:rFonts w:ascii="Times" w:hAnsi="Times"/>
        </w:rPr>
        <w:t xml:space="preserve"> simulation approach like that of the Algorithm-Assisted Redistricting Methodology Project</w:t>
      </w:r>
      <w:r w:rsidR="00F97AE2">
        <w:rPr>
          <w:rFonts w:ascii="Times" w:hAnsi="Times"/>
        </w:rPr>
        <w:t xml:space="preserve"> would be worthwhile to determine which </w:t>
      </w:r>
      <w:r w:rsidR="008519A9">
        <w:rPr>
          <w:rFonts w:ascii="Times" w:hAnsi="Times"/>
        </w:rPr>
        <w:t xml:space="preserve">of these plans have the most costs </w:t>
      </w:r>
      <w:r w:rsidR="004952FE">
        <w:rPr>
          <w:rFonts w:ascii="Times" w:hAnsi="Times"/>
        </w:rPr>
        <w:t>or</w:t>
      </w:r>
      <w:r w:rsidR="008519A9">
        <w:rPr>
          <w:rFonts w:ascii="Times" w:hAnsi="Times"/>
        </w:rPr>
        <w:t xml:space="preserve"> benefits associated</w:t>
      </w:r>
      <w:r w:rsidR="004952FE">
        <w:rPr>
          <w:rFonts w:ascii="Times" w:hAnsi="Times"/>
        </w:rPr>
        <w:t xml:space="preserve"> with them,</w:t>
      </w:r>
      <w:r w:rsidR="00DA5E54">
        <w:rPr>
          <w:rFonts w:ascii="Times" w:hAnsi="Times"/>
        </w:rPr>
        <w:t xml:space="preserve"> to compare these plans to each</w:t>
      </w:r>
      <w:r w:rsidR="00270193">
        <w:rPr>
          <w:rFonts w:ascii="Times" w:hAnsi="Times"/>
        </w:rPr>
        <w:t xml:space="preserve"> </w:t>
      </w:r>
      <w:r w:rsidR="00DA5E54">
        <w:rPr>
          <w:rFonts w:ascii="Times" w:hAnsi="Times"/>
        </w:rPr>
        <w:t>other</w:t>
      </w:r>
      <w:r w:rsidR="004952FE">
        <w:rPr>
          <w:rFonts w:ascii="Times" w:hAnsi="Times"/>
        </w:rPr>
        <w:t>, and</w:t>
      </w:r>
      <w:r w:rsidR="00DA5E54">
        <w:rPr>
          <w:rFonts w:ascii="Times" w:hAnsi="Times"/>
        </w:rPr>
        <w:t xml:space="preserve"> </w:t>
      </w:r>
      <w:r w:rsidR="004952FE">
        <w:rPr>
          <w:rFonts w:ascii="Times" w:hAnsi="Times"/>
        </w:rPr>
        <w:t>empirically v</w:t>
      </w:r>
      <w:r w:rsidR="00270193">
        <w:rPr>
          <w:rFonts w:ascii="Times" w:hAnsi="Times"/>
        </w:rPr>
        <w:t>alidate them against other potential plans.</w:t>
      </w:r>
      <w:r w:rsidR="00270193">
        <w:rPr>
          <w:rStyle w:val="FootnoteReference"/>
          <w:rFonts w:ascii="Times" w:hAnsi="Times"/>
        </w:rPr>
        <w:footnoteReference w:id="49"/>
      </w:r>
    </w:p>
    <w:p w14:paraId="0909220E" w14:textId="1779E727" w:rsidR="00CA51CE" w:rsidRDefault="00CA51CE" w:rsidP="00CA51CE">
      <w:pPr>
        <w:spacing w:line="480" w:lineRule="auto"/>
        <w:jc w:val="center"/>
        <w:rPr>
          <w:rFonts w:ascii="Times" w:hAnsi="Times"/>
          <w:b/>
          <w:bCs/>
          <w:sz w:val="32"/>
          <w:szCs w:val="32"/>
        </w:rPr>
      </w:pPr>
      <w:r>
        <w:rPr>
          <w:rFonts w:ascii="Times" w:hAnsi="Times"/>
          <w:b/>
          <w:bCs/>
          <w:sz w:val="32"/>
          <w:szCs w:val="32"/>
        </w:rPr>
        <w:t>Appendix</w:t>
      </w:r>
    </w:p>
    <w:p w14:paraId="0907A024" w14:textId="59702222" w:rsidR="006C430A" w:rsidRDefault="006C430A" w:rsidP="006C430A">
      <w:pPr>
        <w:spacing w:line="480" w:lineRule="auto"/>
        <w:rPr>
          <w:rFonts w:ascii="Times" w:hAnsi="Times"/>
          <w:b/>
          <w:bCs/>
          <w:sz w:val="32"/>
          <w:szCs w:val="32"/>
        </w:rPr>
      </w:pPr>
      <w:r>
        <w:rPr>
          <w:rFonts w:ascii="Times" w:hAnsi="Times"/>
          <w:b/>
          <w:bCs/>
          <w:sz w:val="32"/>
          <w:szCs w:val="32"/>
        </w:rPr>
        <w:t>Map 1: Good Government</w:t>
      </w:r>
    </w:p>
    <w:tbl>
      <w:tblPr>
        <w:tblW w:w="8540" w:type="dxa"/>
        <w:tblLook w:val="04A0" w:firstRow="1" w:lastRow="0" w:firstColumn="1" w:lastColumn="0" w:noHBand="0" w:noVBand="1"/>
      </w:tblPr>
      <w:tblGrid>
        <w:gridCol w:w="880"/>
        <w:gridCol w:w="1280"/>
        <w:gridCol w:w="1140"/>
        <w:gridCol w:w="1380"/>
        <w:gridCol w:w="1020"/>
        <w:gridCol w:w="1260"/>
        <w:gridCol w:w="1580"/>
      </w:tblGrid>
      <w:tr w:rsidR="00540E1B" w14:paraId="2CCCF2D9" w14:textId="77777777" w:rsidTr="00540E1B">
        <w:trPr>
          <w:trHeight w:val="300"/>
        </w:trPr>
        <w:tc>
          <w:tcPr>
            <w:tcW w:w="880" w:type="dxa"/>
            <w:tcBorders>
              <w:top w:val="nil"/>
              <w:left w:val="nil"/>
              <w:bottom w:val="nil"/>
              <w:right w:val="nil"/>
            </w:tcBorders>
            <w:shd w:val="clear" w:color="auto" w:fill="auto"/>
            <w:noWrap/>
            <w:vAlign w:val="bottom"/>
            <w:hideMark/>
          </w:tcPr>
          <w:p w14:paraId="34A307F4" w14:textId="77777777" w:rsidR="00540E1B" w:rsidRDefault="00540E1B">
            <w:pPr>
              <w:rPr>
                <w:rFonts w:ascii="Calibri" w:hAnsi="Calibri" w:cs="Calibri"/>
                <w:b/>
                <w:bCs/>
                <w:sz w:val="22"/>
                <w:szCs w:val="22"/>
              </w:rPr>
            </w:pPr>
            <w:r>
              <w:rPr>
                <w:rFonts w:ascii="Calibri" w:hAnsi="Calibri" w:cs="Calibri"/>
                <w:b/>
                <w:bCs/>
                <w:sz w:val="22"/>
                <w:szCs w:val="22"/>
              </w:rPr>
              <w:t>District</w:t>
            </w:r>
          </w:p>
        </w:tc>
        <w:tc>
          <w:tcPr>
            <w:tcW w:w="1280" w:type="dxa"/>
            <w:tcBorders>
              <w:top w:val="nil"/>
              <w:left w:val="nil"/>
              <w:bottom w:val="nil"/>
              <w:right w:val="nil"/>
            </w:tcBorders>
            <w:shd w:val="clear" w:color="auto" w:fill="auto"/>
            <w:noWrap/>
            <w:vAlign w:val="bottom"/>
            <w:hideMark/>
          </w:tcPr>
          <w:p w14:paraId="6D74EAEA" w14:textId="77777777" w:rsidR="00540E1B" w:rsidRDefault="00540E1B">
            <w:pPr>
              <w:rPr>
                <w:rFonts w:ascii="Calibri" w:hAnsi="Calibri" w:cs="Calibri"/>
                <w:b/>
                <w:bCs/>
                <w:sz w:val="22"/>
                <w:szCs w:val="22"/>
              </w:rPr>
            </w:pPr>
            <w:r>
              <w:rPr>
                <w:rFonts w:ascii="Calibri" w:hAnsi="Calibri" w:cs="Calibri"/>
                <w:b/>
                <w:bCs/>
                <w:sz w:val="22"/>
                <w:szCs w:val="22"/>
              </w:rPr>
              <w:t>Population</w:t>
            </w:r>
          </w:p>
        </w:tc>
        <w:tc>
          <w:tcPr>
            <w:tcW w:w="1140" w:type="dxa"/>
            <w:tcBorders>
              <w:top w:val="nil"/>
              <w:left w:val="nil"/>
              <w:bottom w:val="nil"/>
              <w:right w:val="nil"/>
            </w:tcBorders>
            <w:shd w:val="clear" w:color="auto" w:fill="auto"/>
            <w:noWrap/>
            <w:vAlign w:val="bottom"/>
            <w:hideMark/>
          </w:tcPr>
          <w:p w14:paraId="3964F397" w14:textId="77777777" w:rsidR="00540E1B" w:rsidRDefault="00540E1B">
            <w:pPr>
              <w:rPr>
                <w:rFonts w:ascii="Calibri" w:hAnsi="Calibri" w:cs="Calibri"/>
                <w:b/>
                <w:bCs/>
                <w:sz w:val="22"/>
                <w:szCs w:val="22"/>
              </w:rPr>
            </w:pPr>
            <w:r>
              <w:rPr>
                <w:rFonts w:ascii="Calibri" w:hAnsi="Calibri" w:cs="Calibri"/>
                <w:b/>
                <w:bCs/>
                <w:sz w:val="22"/>
                <w:szCs w:val="22"/>
              </w:rPr>
              <w:t>Deviation</w:t>
            </w:r>
          </w:p>
        </w:tc>
        <w:tc>
          <w:tcPr>
            <w:tcW w:w="1380" w:type="dxa"/>
            <w:tcBorders>
              <w:top w:val="nil"/>
              <w:left w:val="nil"/>
              <w:bottom w:val="nil"/>
              <w:right w:val="nil"/>
            </w:tcBorders>
            <w:shd w:val="clear" w:color="auto" w:fill="auto"/>
            <w:noWrap/>
            <w:vAlign w:val="bottom"/>
            <w:hideMark/>
          </w:tcPr>
          <w:p w14:paraId="70E1C6F0" w14:textId="77777777" w:rsidR="00540E1B" w:rsidRDefault="00540E1B">
            <w:pPr>
              <w:rPr>
                <w:rFonts w:ascii="Calibri" w:hAnsi="Calibri" w:cs="Calibri"/>
                <w:b/>
                <w:bCs/>
                <w:sz w:val="22"/>
                <w:szCs w:val="22"/>
              </w:rPr>
            </w:pPr>
            <w:r>
              <w:rPr>
                <w:rFonts w:ascii="Calibri" w:hAnsi="Calibri" w:cs="Calibri"/>
                <w:b/>
                <w:bCs/>
                <w:sz w:val="22"/>
                <w:szCs w:val="22"/>
              </w:rPr>
              <w:t>% Deviation</w:t>
            </w:r>
          </w:p>
        </w:tc>
        <w:tc>
          <w:tcPr>
            <w:tcW w:w="1020" w:type="dxa"/>
            <w:tcBorders>
              <w:top w:val="nil"/>
              <w:left w:val="nil"/>
              <w:bottom w:val="nil"/>
              <w:right w:val="nil"/>
            </w:tcBorders>
            <w:shd w:val="clear" w:color="auto" w:fill="auto"/>
            <w:noWrap/>
            <w:vAlign w:val="bottom"/>
            <w:hideMark/>
          </w:tcPr>
          <w:p w14:paraId="2099D249" w14:textId="77777777" w:rsidR="00540E1B" w:rsidRDefault="00540E1B">
            <w:pPr>
              <w:rPr>
                <w:rFonts w:ascii="Calibri" w:hAnsi="Calibri" w:cs="Calibri"/>
                <w:b/>
                <w:bCs/>
                <w:sz w:val="22"/>
                <w:szCs w:val="22"/>
              </w:rPr>
            </w:pPr>
            <w:proofErr w:type="spellStart"/>
            <w:r>
              <w:rPr>
                <w:rFonts w:ascii="Calibri" w:hAnsi="Calibri" w:cs="Calibri"/>
                <w:b/>
                <w:bCs/>
                <w:sz w:val="22"/>
                <w:szCs w:val="22"/>
              </w:rPr>
              <w:t>Reock</w:t>
            </w:r>
            <w:proofErr w:type="spellEnd"/>
          </w:p>
        </w:tc>
        <w:tc>
          <w:tcPr>
            <w:tcW w:w="1260" w:type="dxa"/>
            <w:tcBorders>
              <w:top w:val="nil"/>
              <w:left w:val="nil"/>
              <w:bottom w:val="nil"/>
              <w:right w:val="nil"/>
            </w:tcBorders>
            <w:shd w:val="clear" w:color="auto" w:fill="auto"/>
            <w:noWrap/>
            <w:vAlign w:val="bottom"/>
            <w:hideMark/>
          </w:tcPr>
          <w:p w14:paraId="4824FFFA" w14:textId="77777777" w:rsidR="00540E1B" w:rsidRDefault="00540E1B">
            <w:pPr>
              <w:rPr>
                <w:rFonts w:ascii="Calibri" w:hAnsi="Calibri" w:cs="Calibri"/>
                <w:b/>
                <w:bCs/>
                <w:sz w:val="22"/>
                <w:szCs w:val="22"/>
              </w:rPr>
            </w:pPr>
            <w:r>
              <w:rPr>
                <w:rFonts w:ascii="Calibri" w:hAnsi="Calibri" w:cs="Calibri"/>
                <w:b/>
                <w:bCs/>
                <w:sz w:val="22"/>
                <w:szCs w:val="22"/>
              </w:rPr>
              <w:t xml:space="preserve">% </w:t>
            </w:r>
            <w:proofErr w:type="spellStart"/>
            <w:r>
              <w:rPr>
                <w:rFonts w:ascii="Calibri" w:hAnsi="Calibri" w:cs="Calibri"/>
                <w:b/>
                <w:bCs/>
                <w:sz w:val="22"/>
                <w:szCs w:val="22"/>
              </w:rPr>
              <w:t>NH_Wht</w:t>
            </w:r>
            <w:proofErr w:type="spellEnd"/>
          </w:p>
        </w:tc>
        <w:tc>
          <w:tcPr>
            <w:tcW w:w="1580" w:type="dxa"/>
            <w:tcBorders>
              <w:top w:val="nil"/>
              <w:left w:val="nil"/>
              <w:bottom w:val="nil"/>
              <w:right w:val="nil"/>
            </w:tcBorders>
            <w:shd w:val="clear" w:color="auto" w:fill="auto"/>
            <w:noWrap/>
            <w:vAlign w:val="bottom"/>
            <w:hideMark/>
          </w:tcPr>
          <w:p w14:paraId="4E7D0245" w14:textId="77777777" w:rsidR="00540E1B" w:rsidRDefault="00540E1B">
            <w:pPr>
              <w:rPr>
                <w:rFonts w:ascii="Calibri" w:hAnsi="Calibri" w:cs="Calibri"/>
                <w:b/>
                <w:bCs/>
                <w:sz w:val="22"/>
                <w:szCs w:val="22"/>
              </w:rPr>
            </w:pPr>
            <w:r>
              <w:rPr>
                <w:rFonts w:ascii="Calibri" w:hAnsi="Calibri" w:cs="Calibri"/>
                <w:b/>
                <w:bCs/>
                <w:sz w:val="22"/>
                <w:szCs w:val="22"/>
              </w:rPr>
              <w:t>% 18+_AP_Blk</w:t>
            </w:r>
          </w:p>
        </w:tc>
      </w:tr>
      <w:tr w:rsidR="00540E1B" w14:paraId="5A3D670D" w14:textId="77777777" w:rsidTr="00540E1B">
        <w:trPr>
          <w:trHeight w:val="300"/>
        </w:trPr>
        <w:tc>
          <w:tcPr>
            <w:tcW w:w="880" w:type="dxa"/>
            <w:tcBorders>
              <w:top w:val="nil"/>
              <w:left w:val="nil"/>
              <w:bottom w:val="nil"/>
              <w:right w:val="nil"/>
            </w:tcBorders>
            <w:shd w:val="clear" w:color="auto" w:fill="auto"/>
            <w:noWrap/>
            <w:vAlign w:val="bottom"/>
            <w:hideMark/>
          </w:tcPr>
          <w:p w14:paraId="4D8D4A3E" w14:textId="77777777" w:rsidR="00540E1B" w:rsidRDefault="00540E1B">
            <w:pPr>
              <w:rPr>
                <w:rFonts w:ascii="Calibri" w:hAnsi="Calibri" w:cs="Calibri"/>
                <w:sz w:val="22"/>
                <w:szCs w:val="22"/>
              </w:rPr>
            </w:pPr>
            <w:r>
              <w:rPr>
                <w:rFonts w:ascii="Calibri" w:hAnsi="Calibri" w:cs="Calibri"/>
                <w:sz w:val="22"/>
                <w:szCs w:val="22"/>
              </w:rPr>
              <w:t>1</w:t>
            </w:r>
          </w:p>
        </w:tc>
        <w:tc>
          <w:tcPr>
            <w:tcW w:w="1280" w:type="dxa"/>
            <w:tcBorders>
              <w:top w:val="nil"/>
              <w:left w:val="nil"/>
              <w:bottom w:val="nil"/>
              <w:right w:val="nil"/>
            </w:tcBorders>
            <w:shd w:val="clear" w:color="auto" w:fill="auto"/>
            <w:noWrap/>
            <w:vAlign w:val="bottom"/>
            <w:hideMark/>
          </w:tcPr>
          <w:p w14:paraId="40661D71" w14:textId="77777777" w:rsidR="00540E1B" w:rsidRDefault="00540E1B">
            <w:pPr>
              <w:jc w:val="right"/>
              <w:rPr>
                <w:rFonts w:ascii="Calibri" w:hAnsi="Calibri" w:cs="Calibri"/>
                <w:sz w:val="22"/>
                <w:szCs w:val="22"/>
              </w:rPr>
            </w:pPr>
            <w:r>
              <w:rPr>
                <w:rFonts w:ascii="Calibri" w:hAnsi="Calibri" w:cs="Calibri"/>
                <w:sz w:val="22"/>
                <w:szCs w:val="22"/>
              </w:rPr>
              <w:t>784671</w:t>
            </w:r>
          </w:p>
        </w:tc>
        <w:tc>
          <w:tcPr>
            <w:tcW w:w="1140" w:type="dxa"/>
            <w:tcBorders>
              <w:top w:val="nil"/>
              <w:left w:val="nil"/>
              <w:bottom w:val="nil"/>
              <w:right w:val="nil"/>
            </w:tcBorders>
            <w:shd w:val="clear" w:color="auto" w:fill="auto"/>
            <w:noWrap/>
            <w:vAlign w:val="bottom"/>
            <w:hideMark/>
          </w:tcPr>
          <w:p w14:paraId="288447A0" w14:textId="77777777" w:rsidR="00540E1B" w:rsidRDefault="00540E1B">
            <w:pPr>
              <w:jc w:val="right"/>
              <w:rPr>
                <w:rFonts w:ascii="Calibri" w:hAnsi="Calibri" w:cs="Calibri"/>
                <w:sz w:val="22"/>
                <w:szCs w:val="22"/>
              </w:rPr>
            </w:pPr>
            <w:r>
              <w:rPr>
                <w:rFonts w:ascii="Calibri" w:hAnsi="Calibri" w:cs="Calibri"/>
                <w:sz w:val="22"/>
                <w:szCs w:val="22"/>
              </w:rPr>
              <w:t>-1</w:t>
            </w:r>
          </w:p>
        </w:tc>
        <w:tc>
          <w:tcPr>
            <w:tcW w:w="1380" w:type="dxa"/>
            <w:tcBorders>
              <w:top w:val="nil"/>
              <w:left w:val="nil"/>
              <w:bottom w:val="nil"/>
              <w:right w:val="nil"/>
            </w:tcBorders>
            <w:shd w:val="clear" w:color="auto" w:fill="auto"/>
            <w:noWrap/>
            <w:vAlign w:val="bottom"/>
            <w:hideMark/>
          </w:tcPr>
          <w:p w14:paraId="75BC9B37" w14:textId="77777777" w:rsidR="00540E1B" w:rsidRDefault="00540E1B">
            <w:pPr>
              <w:jc w:val="right"/>
              <w:rPr>
                <w:rFonts w:ascii="Calibri" w:hAnsi="Calibri" w:cs="Calibri"/>
                <w:sz w:val="22"/>
                <w:szCs w:val="22"/>
              </w:rPr>
            </w:pPr>
            <w:r>
              <w:rPr>
                <w:rFonts w:ascii="Calibri" w:hAnsi="Calibri" w:cs="Calibri"/>
                <w:sz w:val="22"/>
                <w:szCs w:val="22"/>
              </w:rPr>
              <w:t>-0.000001</w:t>
            </w:r>
          </w:p>
        </w:tc>
        <w:tc>
          <w:tcPr>
            <w:tcW w:w="1020" w:type="dxa"/>
            <w:tcBorders>
              <w:top w:val="nil"/>
              <w:left w:val="nil"/>
              <w:bottom w:val="nil"/>
              <w:right w:val="nil"/>
            </w:tcBorders>
            <w:shd w:val="clear" w:color="auto" w:fill="auto"/>
            <w:noWrap/>
            <w:vAlign w:val="bottom"/>
            <w:hideMark/>
          </w:tcPr>
          <w:p w14:paraId="5F9B81DE" w14:textId="77777777" w:rsidR="00540E1B" w:rsidRDefault="00540E1B">
            <w:pPr>
              <w:jc w:val="right"/>
              <w:rPr>
                <w:rFonts w:ascii="Calibri" w:hAnsi="Calibri" w:cs="Calibri"/>
                <w:sz w:val="22"/>
                <w:szCs w:val="22"/>
              </w:rPr>
            </w:pPr>
            <w:r>
              <w:rPr>
                <w:rFonts w:ascii="Calibri" w:hAnsi="Calibri" w:cs="Calibri"/>
                <w:sz w:val="22"/>
                <w:szCs w:val="22"/>
              </w:rPr>
              <w:t>0.43799</w:t>
            </w:r>
          </w:p>
        </w:tc>
        <w:tc>
          <w:tcPr>
            <w:tcW w:w="1260" w:type="dxa"/>
            <w:tcBorders>
              <w:top w:val="nil"/>
              <w:left w:val="nil"/>
              <w:bottom w:val="nil"/>
              <w:right w:val="nil"/>
            </w:tcBorders>
            <w:shd w:val="clear" w:color="auto" w:fill="auto"/>
            <w:noWrap/>
            <w:vAlign w:val="bottom"/>
            <w:hideMark/>
          </w:tcPr>
          <w:p w14:paraId="6BD20946" w14:textId="77777777" w:rsidR="00540E1B" w:rsidRDefault="00540E1B">
            <w:pPr>
              <w:jc w:val="right"/>
              <w:rPr>
                <w:rFonts w:ascii="Calibri" w:hAnsi="Calibri" w:cs="Calibri"/>
                <w:sz w:val="22"/>
                <w:szCs w:val="22"/>
              </w:rPr>
            </w:pPr>
            <w:r>
              <w:rPr>
                <w:rFonts w:ascii="Calibri" w:hAnsi="Calibri" w:cs="Calibri"/>
                <w:sz w:val="22"/>
                <w:szCs w:val="22"/>
              </w:rPr>
              <w:t>0.672707</w:t>
            </w:r>
          </w:p>
        </w:tc>
        <w:tc>
          <w:tcPr>
            <w:tcW w:w="1580" w:type="dxa"/>
            <w:tcBorders>
              <w:top w:val="nil"/>
              <w:left w:val="nil"/>
              <w:bottom w:val="nil"/>
              <w:right w:val="nil"/>
            </w:tcBorders>
            <w:shd w:val="clear" w:color="auto" w:fill="auto"/>
            <w:noWrap/>
            <w:vAlign w:val="bottom"/>
            <w:hideMark/>
          </w:tcPr>
          <w:p w14:paraId="73BAA449" w14:textId="77777777" w:rsidR="00540E1B" w:rsidRDefault="00540E1B">
            <w:pPr>
              <w:jc w:val="right"/>
              <w:rPr>
                <w:rFonts w:ascii="Calibri" w:hAnsi="Calibri" w:cs="Calibri"/>
                <w:sz w:val="22"/>
                <w:szCs w:val="22"/>
              </w:rPr>
            </w:pPr>
            <w:r>
              <w:rPr>
                <w:rFonts w:ascii="Calibri" w:hAnsi="Calibri" w:cs="Calibri"/>
                <w:sz w:val="22"/>
                <w:szCs w:val="22"/>
              </w:rPr>
              <w:t>0.168223</w:t>
            </w:r>
          </w:p>
        </w:tc>
      </w:tr>
      <w:tr w:rsidR="00540E1B" w14:paraId="36D43CF6" w14:textId="77777777" w:rsidTr="00540E1B">
        <w:trPr>
          <w:trHeight w:val="300"/>
        </w:trPr>
        <w:tc>
          <w:tcPr>
            <w:tcW w:w="880" w:type="dxa"/>
            <w:tcBorders>
              <w:top w:val="nil"/>
              <w:left w:val="nil"/>
              <w:bottom w:val="nil"/>
              <w:right w:val="nil"/>
            </w:tcBorders>
            <w:shd w:val="clear" w:color="auto" w:fill="auto"/>
            <w:noWrap/>
            <w:vAlign w:val="bottom"/>
            <w:hideMark/>
          </w:tcPr>
          <w:p w14:paraId="00A7322C" w14:textId="77777777" w:rsidR="00540E1B" w:rsidRDefault="00540E1B">
            <w:pPr>
              <w:rPr>
                <w:rFonts w:ascii="Calibri" w:hAnsi="Calibri" w:cs="Calibri"/>
                <w:sz w:val="22"/>
                <w:szCs w:val="22"/>
              </w:rPr>
            </w:pPr>
            <w:r>
              <w:rPr>
                <w:rFonts w:ascii="Calibri" w:hAnsi="Calibri" w:cs="Calibri"/>
                <w:sz w:val="22"/>
                <w:szCs w:val="22"/>
              </w:rPr>
              <w:t>2</w:t>
            </w:r>
          </w:p>
        </w:tc>
        <w:tc>
          <w:tcPr>
            <w:tcW w:w="1280" w:type="dxa"/>
            <w:tcBorders>
              <w:top w:val="nil"/>
              <w:left w:val="nil"/>
              <w:bottom w:val="nil"/>
              <w:right w:val="nil"/>
            </w:tcBorders>
            <w:shd w:val="clear" w:color="auto" w:fill="auto"/>
            <w:noWrap/>
            <w:vAlign w:val="bottom"/>
            <w:hideMark/>
          </w:tcPr>
          <w:p w14:paraId="293C6A4C" w14:textId="77777777" w:rsidR="00540E1B" w:rsidRDefault="00540E1B">
            <w:pPr>
              <w:jc w:val="right"/>
              <w:rPr>
                <w:rFonts w:ascii="Calibri" w:hAnsi="Calibri" w:cs="Calibri"/>
                <w:sz w:val="22"/>
                <w:szCs w:val="22"/>
              </w:rPr>
            </w:pPr>
            <w:r>
              <w:rPr>
                <w:rFonts w:ascii="Calibri" w:hAnsi="Calibri" w:cs="Calibri"/>
                <w:sz w:val="22"/>
                <w:szCs w:val="22"/>
              </w:rPr>
              <w:t>784673</w:t>
            </w:r>
          </w:p>
        </w:tc>
        <w:tc>
          <w:tcPr>
            <w:tcW w:w="1140" w:type="dxa"/>
            <w:tcBorders>
              <w:top w:val="nil"/>
              <w:left w:val="nil"/>
              <w:bottom w:val="nil"/>
              <w:right w:val="nil"/>
            </w:tcBorders>
            <w:shd w:val="clear" w:color="auto" w:fill="auto"/>
            <w:noWrap/>
            <w:vAlign w:val="bottom"/>
            <w:hideMark/>
          </w:tcPr>
          <w:p w14:paraId="0DC6B4D0" w14:textId="77777777" w:rsidR="00540E1B" w:rsidRDefault="00540E1B">
            <w:pPr>
              <w:jc w:val="right"/>
              <w:rPr>
                <w:rFonts w:ascii="Calibri" w:hAnsi="Calibri" w:cs="Calibri"/>
                <w:sz w:val="22"/>
                <w:szCs w:val="22"/>
              </w:rPr>
            </w:pPr>
            <w:r>
              <w:rPr>
                <w:rFonts w:ascii="Calibri" w:hAnsi="Calibri" w:cs="Calibri"/>
                <w:sz w:val="22"/>
                <w:szCs w:val="22"/>
              </w:rPr>
              <w:t>1</w:t>
            </w:r>
          </w:p>
        </w:tc>
        <w:tc>
          <w:tcPr>
            <w:tcW w:w="1380" w:type="dxa"/>
            <w:tcBorders>
              <w:top w:val="nil"/>
              <w:left w:val="nil"/>
              <w:bottom w:val="nil"/>
              <w:right w:val="nil"/>
            </w:tcBorders>
            <w:shd w:val="clear" w:color="auto" w:fill="auto"/>
            <w:noWrap/>
            <w:vAlign w:val="bottom"/>
            <w:hideMark/>
          </w:tcPr>
          <w:p w14:paraId="1B134E51" w14:textId="77777777" w:rsidR="00540E1B" w:rsidRDefault="00540E1B">
            <w:pPr>
              <w:jc w:val="right"/>
              <w:rPr>
                <w:rFonts w:ascii="Calibri" w:hAnsi="Calibri" w:cs="Calibri"/>
                <w:sz w:val="22"/>
                <w:szCs w:val="22"/>
              </w:rPr>
            </w:pPr>
            <w:r>
              <w:rPr>
                <w:rFonts w:ascii="Calibri" w:hAnsi="Calibri" w:cs="Calibri"/>
                <w:sz w:val="22"/>
                <w:szCs w:val="22"/>
              </w:rPr>
              <w:t>0.000001</w:t>
            </w:r>
          </w:p>
        </w:tc>
        <w:tc>
          <w:tcPr>
            <w:tcW w:w="1020" w:type="dxa"/>
            <w:tcBorders>
              <w:top w:val="nil"/>
              <w:left w:val="nil"/>
              <w:bottom w:val="nil"/>
              <w:right w:val="nil"/>
            </w:tcBorders>
            <w:shd w:val="clear" w:color="auto" w:fill="auto"/>
            <w:noWrap/>
            <w:vAlign w:val="bottom"/>
            <w:hideMark/>
          </w:tcPr>
          <w:p w14:paraId="4EB044D7" w14:textId="77777777" w:rsidR="00540E1B" w:rsidRDefault="00540E1B">
            <w:pPr>
              <w:jc w:val="right"/>
              <w:rPr>
                <w:rFonts w:ascii="Calibri" w:hAnsi="Calibri" w:cs="Calibri"/>
                <w:sz w:val="22"/>
                <w:szCs w:val="22"/>
              </w:rPr>
            </w:pPr>
            <w:r>
              <w:rPr>
                <w:rFonts w:ascii="Calibri" w:hAnsi="Calibri" w:cs="Calibri"/>
                <w:sz w:val="22"/>
                <w:szCs w:val="22"/>
              </w:rPr>
              <w:t>0.25336</w:t>
            </w:r>
          </w:p>
        </w:tc>
        <w:tc>
          <w:tcPr>
            <w:tcW w:w="1260" w:type="dxa"/>
            <w:tcBorders>
              <w:top w:val="nil"/>
              <w:left w:val="nil"/>
              <w:bottom w:val="nil"/>
              <w:right w:val="nil"/>
            </w:tcBorders>
            <w:shd w:val="clear" w:color="auto" w:fill="auto"/>
            <w:noWrap/>
            <w:vAlign w:val="bottom"/>
            <w:hideMark/>
          </w:tcPr>
          <w:p w14:paraId="5B4DD245" w14:textId="77777777" w:rsidR="00540E1B" w:rsidRDefault="00540E1B">
            <w:pPr>
              <w:jc w:val="right"/>
              <w:rPr>
                <w:rFonts w:ascii="Calibri" w:hAnsi="Calibri" w:cs="Calibri"/>
                <w:sz w:val="22"/>
                <w:szCs w:val="22"/>
              </w:rPr>
            </w:pPr>
            <w:r>
              <w:rPr>
                <w:rFonts w:ascii="Calibri" w:hAnsi="Calibri" w:cs="Calibri"/>
                <w:sz w:val="22"/>
                <w:szCs w:val="22"/>
              </w:rPr>
              <w:t>0.593656</w:t>
            </w:r>
          </w:p>
        </w:tc>
        <w:tc>
          <w:tcPr>
            <w:tcW w:w="1580" w:type="dxa"/>
            <w:tcBorders>
              <w:top w:val="nil"/>
              <w:left w:val="nil"/>
              <w:bottom w:val="nil"/>
              <w:right w:val="nil"/>
            </w:tcBorders>
            <w:shd w:val="clear" w:color="auto" w:fill="auto"/>
            <w:noWrap/>
            <w:vAlign w:val="bottom"/>
            <w:hideMark/>
          </w:tcPr>
          <w:p w14:paraId="53888146" w14:textId="77777777" w:rsidR="00540E1B" w:rsidRDefault="00540E1B">
            <w:pPr>
              <w:jc w:val="right"/>
              <w:rPr>
                <w:rFonts w:ascii="Calibri" w:hAnsi="Calibri" w:cs="Calibri"/>
                <w:sz w:val="22"/>
                <w:szCs w:val="22"/>
              </w:rPr>
            </w:pPr>
            <w:r>
              <w:rPr>
                <w:rFonts w:ascii="Calibri" w:hAnsi="Calibri" w:cs="Calibri"/>
                <w:sz w:val="22"/>
                <w:szCs w:val="22"/>
              </w:rPr>
              <w:t>0.212225</w:t>
            </w:r>
          </w:p>
        </w:tc>
      </w:tr>
      <w:tr w:rsidR="00540E1B" w14:paraId="6EC445A3" w14:textId="77777777" w:rsidTr="00540E1B">
        <w:trPr>
          <w:trHeight w:val="300"/>
        </w:trPr>
        <w:tc>
          <w:tcPr>
            <w:tcW w:w="880" w:type="dxa"/>
            <w:tcBorders>
              <w:top w:val="nil"/>
              <w:left w:val="nil"/>
              <w:bottom w:val="nil"/>
              <w:right w:val="nil"/>
            </w:tcBorders>
            <w:shd w:val="clear" w:color="auto" w:fill="auto"/>
            <w:noWrap/>
            <w:vAlign w:val="bottom"/>
            <w:hideMark/>
          </w:tcPr>
          <w:p w14:paraId="07337DBE" w14:textId="77777777" w:rsidR="00540E1B" w:rsidRDefault="00540E1B">
            <w:pPr>
              <w:rPr>
                <w:rFonts w:ascii="Calibri" w:hAnsi="Calibri" w:cs="Calibri"/>
                <w:sz w:val="22"/>
                <w:szCs w:val="22"/>
              </w:rPr>
            </w:pPr>
            <w:r>
              <w:rPr>
                <w:rFonts w:ascii="Calibri" w:hAnsi="Calibri" w:cs="Calibri"/>
                <w:sz w:val="22"/>
                <w:szCs w:val="22"/>
              </w:rPr>
              <w:t>3</w:t>
            </w:r>
          </w:p>
        </w:tc>
        <w:tc>
          <w:tcPr>
            <w:tcW w:w="1280" w:type="dxa"/>
            <w:tcBorders>
              <w:top w:val="nil"/>
              <w:left w:val="nil"/>
              <w:bottom w:val="nil"/>
              <w:right w:val="nil"/>
            </w:tcBorders>
            <w:shd w:val="clear" w:color="auto" w:fill="auto"/>
            <w:noWrap/>
            <w:vAlign w:val="bottom"/>
            <w:hideMark/>
          </w:tcPr>
          <w:p w14:paraId="5D6B835D" w14:textId="77777777" w:rsidR="00540E1B" w:rsidRDefault="00540E1B">
            <w:pPr>
              <w:jc w:val="right"/>
              <w:rPr>
                <w:rFonts w:ascii="Calibri" w:hAnsi="Calibri" w:cs="Calibri"/>
                <w:sz w:val="22"/>
                <w:szCs w:val="22"/>
              </w:rPr>
            </w:pPr>
            <w:r>
              <w:rPr>
                <w:rFonts w:ascii="Calibri" w:hAnsi="Calibri" w:cs="Calibri"/>
                <w:sz w:val="22"/>
                <w:szCs w:val="22"/>
              </w:rPr>
              <w:t>784673</w:t>
            </w:r>
          </w:p>
        </w:tc>
        <w:tc>
          <w:tcPr>
            <w:tcW w:w="1140" w:type="dxa"/>
            <w:tcBorders>
              <w:top w:val="nil"/>
              <w:left w:val="nil"/>
              <w:bottom w:val="nil"/>
              <w:right w:val="nil"/>
            </w:tcBorders>
            <w:shd w:val="clear" w:color="auto" w:fill="auto"/>
            <w:noWrap/>
            <w:vAlign w:val="bottom"/>
            <w:hideMark/>
          </w:tcPr>
          <w:p w14:paraId="009B8079" w14:textId="77777777" w:rsidR="00540E1B" w:rsidRDefault="00540E1B">
            <w:pPr>
              <w:jc w:val="right"/>
              <w:rPr>
                <w:rFonts w:ascii="Calibri" w:hAnsi="Calibri" w:cs="Calibri"/>
                <w:sz w:val="22"/>
                <w:szCs w:val="22"/>
              </w:rPr>
            </w:pPr>
            <w:r>
              <w:rPr>
                <w:rFonts w:ascii="Calibri" w:hAnsi="Calibri" w:cs="Calibri"/>
                <w:sz w:val="22"/>
                <w:szCs w:val="22"/>
              </w:rPr>
              <w:t>1</w:t>
            </w:r>
          </w:p>
        </w:tc>
        <w:tc>
          <w:tcPr>
            <w:tcW w:w="1380" w:type="dxa"/>
            <w:tcBorders>
              <w:top w:val="nil"/>
              <w:left w:val="nil"/>
              <w:bottom w:val="nil"/>
              <w:right w:val="nil"/>
            </w:tcBorders>
            <w:shd w:val="clear" w:color="auto" w:fill="auto"/>
            <w:noWrap/>
            <w:vAlign w:val="bottom"/>
            <w:hideMark/>
          </w:tcPr>
          <w:p w14:paraId="689C54D5" w14:textId="77777777" w:rsidR="00540E1B" w:rsidRDefault="00540E1B">
            <w:pPr>
              <w:jc w:val="right"/>
              <w:rPr>
                <w:rFonts w:ascii="Calibri" w:hAnsi="Calibri" w:cs="Calibri"/>
                <w:sz w:val="22"/>
                <w:szCs w:val="22"/>
              </w:rPr>
            </w:pPr>
            <w:r>
              <w:rPr>
                <w:rFonts w:ascii="Calibri" w:hAnsi="Calibri" w:cs="Calibri"/>
                <w:sz w:val="22"/>
                <w:szCs w:val="22"/>
              </w:rPr>
              <w:t>0.000001</w:t>
            </w:r>
          </w:p>
        </w:tc>
        <w:tc>
          <w:tcPr>
            <w:tcW w:w="1020" w:type="dxa"/>
            <w:tcBorders>
              <w:top w:val="nil"/>
              <w:left w:val="nil"/>
              <w:bottom w:val="nil"/>
              <w:right w:val="nil"/>
            </w:tcBorders>
            <w:shd w:val="clear" w:color="auto" w:fill="auto"/>
            <w:noWrap/>
            <w:vAlign w:val="bottom"/>
            <w:hideMark/>
          </w:tcPr>
          <w:p w14:paraId="506F5608" w14:textId="77777777" w:rsidR="00540E1B" w:rsidRDefault="00540E1B">
            <w:pPr>
              <w:jc w:val="right"/>
              <w:rPr>
                <w:rFonts w:ascii="Calibri" w:hAnsi="Calibri" w:cs="Calibri"/>
                <w:sz w:val="22"/>
                <w:szCs w:val="22"/>
              </w:rPr>
            </w:pPr>
            <w:r>
              <w:rPr>
                <w:rFonts w:ascii="Calibri" w:hAnsi="Calibri" w:cs="Calibri"/>
                <w:sz w:val="22"/>
                <w:szCs w:val="22"/>
              </w:rPr>
              <w:t>0.46827</w:t>
            </w:r>
          </w:p>
        </w:tc>
        <w:tc>
          <w:tcPr>
            <w:tcW w:w="1260" w:type="dxa"/>
            <w:tcBorders>
              <w:top w:val="nil"/>
              <w:left w:val="nil"/>
              <w:bottom w:val="nil"/>
              <w:right w:val="nil"/>
            </w:tcBorders>
            <w:shd w:val="clear" w:color="auto" w:fill="auto"/>
            <w:noWrap/>
            <w:vAlign w:val="bottom"/>
            <w:hideMark/>
          </w:tcPr>
          <w:p w14:paraId="5A44505D" w14:textId="77777777" w:rsidR="00540E1B" w:rsidRDefault="00540E1B">
            <w:pPr>
              <w:jc w:val="right"/>
              <w:rPr>
                <w:rFonts w:ascii="Calibri" w:hAnsi="Calibri" w:cs="Calibri"/>
                <w:sz w:val="22"/>
                <w:szCs w:val="22"/>
              </w:rPr>
            </w:pPr>
            <w:r>
              <w:rPr>
                <w:rFonts w:ascii="Calibri" w:hAnsi="Calibri" w:cs="Calibri"/>
                <w:sz w:val="22"/>
                <w:szCs w:val="22"/>
              </w:rPr>
              <w:t>0.391219</w:t>
            </w:r>
          </w:p>
        </w:tc>
        <w:tc>
          <w:tcPr>
            <w:tcW w:w="1580" w:type="dxa"/>
            <w:tcBorders>
              <w:top w:val="nil"/>
              <w:left w:val="nil"/>
              <w:bottom w:val="nil"/>
              <w:right w:val="nil"/>
            </w:tcBorders>
            <w:shd w:val="clear" w:color="auto" w:fill="auto"/>
            <w:noWrap/>
            <w:vAlign w:val="bottom"/>
            <w:hideMark/>
          </w:tcPr>
          <w:p w14:paraId="09CBE95D" w14:textId="77777777" w:rsidR="00540E1B" w:rsidRDefault="00540E1B">
            <w:pPr>
              <w:jc w:val="right"/>
              <w:rPr>
                <w:rFonts w:ascii="Calibri" w:hAnsi="Calibri" w:cs="Calibri"/>
                <w:sz w:val="22"/>
                <w:szCs w:val="22"/>
              </w:rPr>
            </w:pPr>
            <w:r>
              <w:rPr>
                <w:rFonts w:ascii="Calibri" w:hAnsi="Calibri" w:cs="Calibri"/>
                <w:sz w:val="22"/>
                <w:szCs w:val="22"/>
              </w:rPr>
              <w:t>0.469808</w:t>
            </w:r>
          </w:p>
        </w:tc>
      </w:tr>
      <w:tr w:rsidR="00540E1B" w14:paraId="4DCDC097" w14:textId="77777777" w:rsidTr="00540E1B">
        <w:trPr>
          <w:trHeight w:val="300"/>
        </w:trPr>
        <w:tc>
          <w:tcPr>
            <w:tcW w:w="880" w:type="dxa"/>
            <w:tcBorders>
              <w:top w:val="nil"/>
              <w:left w:val="nil"/>
              <w:bottom w:val="nil"/>
              <w:right w:val="nil"/>
            </w:tcBorders>
            <w:shd w:val="clear" w:color="auto" w:fill="auto"/>
            <w:noWrap/>
            <w:vAlign w:val="bottom"/>
            <w:hideMark/>
          </w:tcPr>
          <w:p w14:paraId="7AB06889" w14:textId="77777777" w:rsidR="00540E1B" w:rsidRDefault="00540E1B">
            <w:pPr>
              <w:rPr>
                <w:rFonts w:ascii="Calibri" w:hAnsi="Calibri" w:cs="Calibri"/>
                <w:sz w:val="22"/>
                <w:szCs w:val="22"/>
              </w:rPr>
            </w:pPr>
            <w:r>
              <w:rPr>
                <w:rFonts w:ascii="Calibri" w:hAnsi="Calibri" w:cs="Calibri"/>
                <w:sz w:val="22"/>
                <w:szCs w:val="22"/>
              </w:rPr>
              <w:t>4</w:t>
            </w:r>
          </w:p>
        </w:tc>
        <w:tc>
          <w:tcPr>
            <w:tcW w:w="1280" w:type="dxa"/>
            <w:tcBorders>
              <w:top w:val="nil"/>
              <w:left w:val="nil"/>
              <w:bottom w:val="nil"/>
              <w:right w:val="nil"/>
            </w:tcBorders>
            <w:shd w:val="clear" w:color="auto" w:fill="auto"/>
            <w:noWrap/>
            <w:vAlign w:val="bottom"/>
            <w:hideMark/>
          </w:tcPr>
          <w:p w14:paraId="5CA74661" w14:textId="77777777" w:rsidR="00540E1B" w:rsidRDefault="00540E1B">
            <w:pPr>
              <w:jc w:val="right"/>
              <w:rPr>
                <w:rFonts w:ascii="Calibri" w:hAnsi="Calibri" w:cs="Calibri"/>
                <w:sz w:val="22"/>
                <w:szCs w:val="22"/>
              </w:rPr>
            </w:pPr>
            <w:r>
              <w:rPr>
                <w:rFonts w:ascii="Calibri" w:hAnsi="Calibri" w:cs="Calibri"/>
                <w:sz w:val="22"/>
                <w:szCs w:val="22"/>
              </w:rPr>
              <w:t>784672</w:t>
            </w:r>
          </w:p>
        </w:tc>
        <w:tc>
          <w:tcPr>
            <w:tcW w:w="1140" w:type="dxa"/>
            <w:tcBorders>
              <w:top w:val="nil"/>
              <w:left w:val="nil"/>
              <w:bottom w:val="nil"/>
              <w:right w:val="nil"/>
            </w:tcBorders>
            <w:shd w:val="clear" w:color="auto" w:fill="auto"/>
            <w:noWrap/>
            <w:vAlign w:val="bottom"/>
            <w:hideMark/>
          </w:tcPr>
          <w:p w14:paraId="1843E5C3" w14:textId="77777777" w:rsidR="00540E1B" w:rsidRDefault="00540E1B">
            <w:pPr>
              <w:jc w:val="right"/>
              <w:rPr>
                <w:rFonts w:ascii="Calibri" w:hAnsi="Calibri" w:cs="Calibri"/>
                <w:sz w:val="22"/>
                <w:szCs w:val="22"/>
              </w:rPr>
            </w:pPr>
            <w:r>
              <w:rPr>
                <w:rFonts w:ascii="Calibri" w:hAnsi="Calibri" w:cs="Calibri"/>
                <w:sz w:val="22"/>
                <w:szCs w:val="22"/>
              </w:rPr>
              <w:t>0</w:t>
            </w:r>
          </w:p>
        </w:tc>
        <w:tc>
          <w:tcPr>
            <w:tcW w:w="1380" w:type="dxa"/>
            <w:tcBorders>
              <w:top w:val="nil"/>
              <w:left w:val="nil"/>
              <w:bottom w:val="nil"/>
              <w:right w:val="nil"/>
            </w:tcBorders>
            <w:shd w:val="clear" w:color="auto" w:fill="auto"/>
            <w:noWrap/>
            <w:vAlign w:val="bottom"/>
            <w:hideMark/>
          </w:tcPr>
          <w:p w14:paraId="7FD21A3D" w14:textId="77777777" w:rsidR="00540E1B" w:rsidRDefault="00540E1B">
            <w:pPr>
              <w:jc w:val="right"/>
              <w:rPr>
                <w:rFonts w:ascii="Calibri" w:hAnsi="Calibri" w:cs="Calibri"/>
                <w:sz w:val="22"/>
                <w:szCs w:val="22"/>
              </w:rPr>
            </w:pPr>
            <w:r>
              <w:rPr>
                <w:rFonts w:ascii="Calibri" w:hAnsi="Calibri" w:cs="Calibri"/>
                <w:sz w:val="22"/>
                <w:szCs w:val="22"/>
              </w:rPr>
              <w:t>0</w:t>
            </w:r>
          </w:p>
        </w:tc>
        <w:tc>
          <w:tcPr>
            <w:tcW w:w="1020" w:type="dxa"/>
            <w:tcBorders>
              <w:top w:val="nil"/>
              <w:left w:val="nil"/>
              <w:bottom w:val="nil"/>
              <w:right w:val="nil"/>
            </w:tcBorders>
            <w:shd w:val="clear" w:color="auto" w:fill="auto"/>
            <w:noWrap/>
            <w:vAlign w:val="bottom"/>
            <w:hideMark/>
          </w:tcPr>
          <w:p w14:paraId="3A45A367" w14:textId="77777777" w:rsidR="00540E1B" w:rsidRDefault="00540E1B">
            <w:pPr>
              <w:jc w:val="right"/>
              <w:rPr>
                <w:rFonts w:ascii="Calibri" w:hAnsi="Calibri" w:cs="Calibri"/>
                <w:sz w:val="22"/>
                <w:szCs w:val="22"/>
              </w:rPr>
            </w:pPr>
            <w:r>
              <w:rPr>
                <w:rFonts w:ascii="Calibri" w:hAnsi="Calibri" w:cs="Calibri"/>
                <w:sz w:val="22"/>
                <w:szCs w:val="22"/>
              </w:rPr>
              <w:t>0.54785</w:t>
            </w:r>
          </w:p>
        </w:tc>
        <w:tc>
          <w:tcPr>
            <w:tcW w:w="1260" w:type="dxa"/>
            <w:tcBorders>
              <w:top w:val="nil"/>
              <w:left w:val="nil"/>
              <w:bottom w:val="nil"/>
              <w:right w:val="nil"/>
            </w:tcBorders>
            <w:shd w:val="clear" w:color="auto" w:fill="auto"/>
            <w:noWrap/>
            <w:vAlign w:val="bottom"/>
            <w:hideMark/>
          </w:tcPr>
          <w:p w14:paraId="1C9A6908" w14:textId="77777777" w:rsidR="00540E1B" w:rsidRDefault="00540E1B">
            <w:pPr>
              <w:jc w:val="right"/>
              <w:rPr>
                <w:rFonts w:ascii="Calibri" w:hAnsi="Calibri" w:cs="Calibri"/>
                <w:sz w:val="22"/>
                <w:szCs w:val="22"/>
              </w:rPr>
            </w:pPr>
            <w:r>
              <w:rPr>
                <w:rFonts w:ascii="Calibri" w:hAnsi="Calibri" w:cs="Calibri"/>
                <w:sz w:val="22"/>
                <w:szCs w:val="22"/>
              </w:rPr>
              <w:t>0.462156</w:t>
            </w:r>
          </w:p>
        </w:tc>
        <w:tc>
          <w:tcPr>
            <w:tcW w:w="1580" w:type="dxa"/>
            <w:tcBorders>
              <w:top w:val="nil"/>
              <w:left w:val="nil"/>
              <w:bottom w:val="nil"/>
              <w:right w:val="nil"/>
            </w:tcBorders>
            <w:shd w:val="clear" w:color="auto" w:fill="auto"/>
            <w:noWrap/>
            <w:vAlign w:val="bottom"/>
            <w:hideMark/>
          </w:tcPr>
          <w:p w14:paraId="6ABC1DBD" w14:textId="77777777" w:rsidR="00540E1B" w:rsidRDefault="00540E1B">
            <w:pPr>
              <w:jc w:val="right"/>
              <w:rPr>
                <w:rFonts w:ascii="Calibri" w:hAnsi="Calibri" w:cs="Calibri"/>
                <w:sz w:val="22"/>
                <w:szCs w:val="22"/>
              </w:rPr>
            </w:pPr>
            <w:r>
              <w:rPr>
                <w:rFonts w:ascii="Calibri" w:hAnsi="Calibri" w:cs="Calibri"/>
                <w:sz w:val="22"/>
                <w:szCs w:val="22"/>
              </w:rPr>
              <w:t>0.401501</w:t>
            </w:r>
          </w:p>
        </w:tc>
      </w:tr>
      <w:tr w:rsidR="00540E1B" w14:paraId="1CC2C401" w14:textId="77777777" w:rsidTr="00540E1B">
        <w:trPr>
          <w:trHeight w:val="300"/>
        </w:trPr>
        <w:tc>
          <w:tcPr>
            <w:tcW w:w="880" w:type="dxa"/>
            <w:tcBorders>
              <w:top w:val="nil"/>
              <w:left w:val="nil"/>
              <w:bottom w:val="nil"/>
              <w:right w:val="nil"/>
            </w:tcBorders>
            <w:shd w:val="clear" w:color="auto" w:fill="auto"/>
            <w:noWrap/>
            <w:vAlign w:val="bottom"/>
            <w:hideMark/>
          </w:tcPr>
          <w:p w14:paraId="69622E08" w14:textId="77777777" w:rsidR="00540E1B" w:rsidRDefault="00540E1B">
            <w:pPr>
              <w:rPr>
                <w:rFonts w:ascii="Calibri" w:hAnsi="Calibri" w:cs="Calibri"/>
                <w:sz w:val="22"/>
                <w:szCs w:val="22"/>
              </w:rPr>
            </w:pPr>
            <w:r>
              <w:rPr>
                <w:rFonts w:ascii="Calibri" w:hAnsi="Calibri" w:cs="Calibri"/>
                <w:sz w:val="22"/>
                <w:szCs w:val="22"/>
              </w:rPr>
              <w:t>5</w:t>
            </w:r>
          </w:p>
        </w:tc>
        <w:tc>
          <w:tcPr>
            <w:tcW w:w="1280" w:type="dxa"/>
            <w:tcBorders>
              <w:top w:val="nil"/>
              <w:left w:val="nil"/>
              <w:bottom w:val="nil"/>
              <w:right w:val="nil"/>
            </w:tcBorders>
            <w:shd w:val="clear" w:color="auto" w:fill="auto"/>
            <w:noWrap/>
            <w:vAlign w:val="bottom"/>
            <w:hideMark/>
          </w:tcPr>
          <w:p w14:paraId="768CC630" w14:textId="77777777" w:rsidR="00540E1B" w:rsidRDefault="00540E1B">
            <w:pPr>
              <w:jc w:val="right"/>
              <w:rPr>
                <w:rFonts w:ascii="Calibri" w:hAnsi="Calibri" w:cs="Calibri"/>
                <w:sz w:val="22"/>
                <w:szCs w:val="22"/>
              </w:rPr>
            </w:pPr>
            <w:r>
              <w:rPr>
                <w:rFonts w:ascii="Calibri" w:hAnsi="Calibri" w:cs="Calibri"/>
                <w:sz w:val="22"/>
                <w:szCs w:val="22"/>
              </w:rPr>
              <w:t>784673</w:t>
            </w:r>
          </w:p>
        </w:tc>
        <w:tc>
          <w:tcPr>
            <w:tcW w:w="1140" w:type="dxa"/>
            <w:tcBorders>
              <w:top w:val="nil"/>
              <w:left w:val="nil"/>
              <w:bottom w:val="nil"/>
              <w:right w:val="nil"/>
            </w:tcBorders>
            <w:shd w:val="clear" w:color="auto" w:fill="auto"/>
            <w:noWrap/>
            <w:vAlign w:val="bottom"/>
            <w:hideMark/>
          </w:tcPr>
          <w:p w14:paraId="119C251D" w14:textId="77777777" w:rsidR="00540E1B" w:rsidRDefault="00540E1B">
            <w:pPr>
              <w:jc w:val="right"/>
              <w:rPr>
                <w:rFonts w:ascii="Calibri" w:hAnsi="Calibri" w:cs="Calibri"/>
                <w:sz w:val="22"/>
                <w:szCs w:val="22"/>
              </w:rPr>
            </w:pPr>
            <w:r>
              <w:rPr>
                <w:rFonts w:ascii="Calibri" w:hAnsi="Calibri" w:cs="Calibri"/>
                <w:sz w:val="22"/>
                <w:szCs w:val="22"/>
              </w:rPr>
              <w:t>1</w:t>
            </w:r>
          </w:p>
        </w:tc>
        <w:tc>
          <w:tcPr>
            <w:tcW w:w="1380" w:type="dxa"/>
            <w:tcBorders>
              <w:top w:val="nil"/>
              <w:left w:val="nil"/>
              <w:bottom w:val="nil"/>
              <w:right w:val="nil"/>
            </w:tcBorders>
            <w:shd w:val="clear" w:color="auto" w:fill="auto"/>
            <w:noWrap/>
            <w:vAlign w:val="bottom"/>
            <w:hideMark/>
          </w:tcPr>
          <w:p w14:paraId="2E487ED0" w14:textId="77777777" w:rsidR="00540E1B" w:rsidRDefault="00540E1B">
            <w:pPr>
              <w:jc w:val="right"/>
              <w:rPr>
                <w:rFonts w:ascii="Calibri" w:hAnsi="Calibri" w:cs="Calibri"/>
                <w:sz w:val="22"/>
                <w:szCs w:val="22"/>
              </w:rPr>
            </w:pPr>
            <w:r>
              <w:rPr>
                <w:rFonts w:ascii="Calibri" w:hAnsi="Calibri" w:cs="Calibri"/>
                <w:sz w:val="22"/>
                <w:szCs w:val="22"/>
              </w:rPr>
              <w:t>0.000001</w:t>
            </w:r>
          </w:p>
        </w:tc>
        <w:tc>
          <w:tcPr>
            <w:tcW w:w="1020" w:type="dxa"/>
            <w:tcBorders>
              <w:top w:val="nil"/>
              <w:left w:val="nil"/>
              <w:bottom w:val="nil"/>
              <w:right w:val="nil"/>
            </w:tcBorders>
            <w:shd w:val="clear" w:color="auto" w:fill="auto"/>
            <w:noWrap/>
            <w:vAlign w:val="bottom"/>
            <w:hideMark/>
          </w:tcPr>
          <w:p w14:paraId="2E35AAA9" w14:textId="77777777" w:rsidR="00540E1B" w:rsidRDefault="00540E1B">
            <w:pPr>
              <w:jc w:val="right"/>
              <w:rPr>
                <w:rFonts w:ascii="Calibri" w:hAnsi="Calibri" w:cs="Calibri"/>
                <w:sz w:val="22"/>
                <w:szCs w:val="22"/>
              </w:rPr>
            </w:pPr>
            <w:r>
              <w:rPr>
                <w:rFonts w:ascii="Calibri" w:hAnsi="Calibri" w:cs="Calibri"/>
                <w:sz w:val="22"/>
                <w:szCs w:val="22"/>
              </w:rPr>
              <w:t>0.39249</w:t>
            </w:r>
          </w:p>
        </w:tc>
        <w:tc>
          <w:tcPr>
            <w:tcW w:w="1260" w:type="dxa"/>
            <w:tcBorders>
              <w:top w:val="nil"/>
              <w:left w:val="nil"/>
              <w:bottom w:val="nil"/>
              <w:right w:val="nil"/>
            </w:tcBorders>
            <w:shd w:val="clear" w:color="auto" w:fill="auto"/>
            <w:noWrap/>
            <w:vAlign w:val="bottom"/>
            <w:hideMark/>
          </w:tcPr>
          <w:p w14:paraId="5BE0D89B" w14:textId="77777777" w:rsidR="00540E1B" w:rsidRDefault="00540E1B">
            <w:pPr>
              <w:jc w:val="right"/>
              <w:rPr>
                <w:rFonts w:ascii="Calibri" w:hAnsi="Calibri" w:cs="Calibri"/>
                <w:sz w:val="22"/>
                <w:szCs w:val="22"/>
              </w:rPr>
            </w:pPr>
            <w:r>
              <w:rPr>
                <w:rFonts w:ascii="Calibri" w:hAnsi="Calibri" w:cs="Calibri"/>
                <w:sz w:val="22"/>
                <w:szCs w:val="22"/>
              </w:rPr>
              <w:t>0.663995</w:t>
            </w:r>
          </w:p>
        </w:tc>
        <w:tc>
          <w:tcPr>
            <w:tcW w:w="1580" w:type="dxa"/>
            <w:tcBorders>
              <w:top w:val="nil"/>
              <w:left w:val="nil"/>
              <w:bottom w:val="nil"/>
              <w:right w:val="nil"/>
            </w:tcBorders>
            <w:shd w:val="clear" w:color="auto" w:fill="auto"/>
            <w:noWrap/>
            <w:vAlign w:val="bottom"/>
            <w:hideMark/>
          </w:tcPr>
          <w:p w14:paraId="5BE28986" w14:textId="77777777" w:rsidR="00540E1B" w:rsidRDefault="00540E1B">
            <w:pPr>
              <w:jc w:val="right"/>
              <w:rPr>
                <w:rFonts w:ascii="Calibri" w:hAnsi="Calibri" w:cs="Calibri"/>
                <w:sz w:val="22"/>
                <w:szCs w:val="22"/>
              </w:rPr>
            </w:pPr>
            <w:r>
              <w:rPr>
                <w:rFonts w:ascii="Calibri" w:hAnsi="Calibri" w:cs="Calibri"/>
                <w:sz w:val="22"/>
                <w:szCs w:val="22"/>
              </w:rPr>
              <w:t>0.23232</w:t>
            </w:r>
          </w:p>
        </w:tc>
      </w:tr>
      <w:tr w:rsidR="00540E1B" w14:paraId="0F0F78DF" w14:textId="77777777" w:rsidTr="00540E1B">
        <w:trPr>
          <w:trHeight w:val="300"/>
        </w:trPr>
        <w:tc>
          <w:tcPr>
            <w:tcW w:w="880" w:type="dxa"/>
            <w:tcBorders>
              <w:top w:val="nil"/>
              <w:left w:val="nil"/>
              <w:bottom w:val="nil"/>
              <w:right w:val="nil"/>
            </w:tcBorders>
            <w:shd w:val="clear" w:color="auto" w:fill="auto"/>
            <w:noWrap/>
            <w:vAlign w:val="bottom"/>
            <w:hideMark/>
          </w:tcPr>
          <w:p w14:paraId="76E62A89" w14:textId="77777777" w:rsidR="00540E1B" w:rsidRDefault="00540E1B">
            <w:pPr>
              <w:rPr>
                <w:rFonts w:ascii="Calibri" w:hAnsi="Calibri" w:cs="Calibri"/>
                <w:sz w:val="22"/>
                <w:szCs w:val="22"/>
              </w:rPr>
            </w:pPr>
            <w:r>
              <w:rPr>
                <w:rFonts w:ascii="Calibri" w:hAnsi="Calibri" w:cs="Calibri"/>
                <w:sz w:val="22"/>
                <w:szCs w:val="22"/>
              </w:rPr>
              <w:t>6</w:t>
            </w:r>
          </w:p>
        </w:tc>
        <w:tc>
          <w:tcPr>
            <w:tcW w:w="1280" w:type="dxa"/>
            <w:tcBorders>
              <w:top w:val="nil"/>
              <w:left w:val="nil"/>
              <w:bottom w:val="nil"/>
              <w:right w:val="nil"/>
            </w:tcBorders>
            <w:shd w:val="clear" w:color="auto" w:fill="auto"/>
            <w:noWrap/>
            <w:vAlign w:val="bottom"/>
            <w:hideMark/>
          </w:tcPr>
          <w:p w14:paraId="76FAB13E" w14:textId="77777777" w:rsidR="00540E1B" w:rsidRDefault="00540E1B">
            <w:pPr>
              <w:jc w:val="right"/>
              <w:rPr>
                <w:rFonts w:ascii="Calibri" w:hAnsi="Calibri" w:cs="Calibri"/>
                <w:sz w:val="22"/>
                <w:szCs w:val="22"/>
              </w:rPr>
            </w:pPr>
            <w:r>
              <w:rPr>
                <w:rFonts w:ascii="Calibri" w:hAnsi="Calibri" w:cs="Calibri"/>
                <w:sz w:val="22"/>
                <w:szCs w:val="22"/>
              </w:rPr>
              <w:t>784671</w:t>
            </w:r>
          </w:p>
        </w:tc>
        <w:tc>
          <w:tcPr>
            <w:tcW w:w="1140" w:type="dxa"/>
            <w:tcBorders>
              <w:top w:val="nil"/>
              <w:left w:val="nil"/>
              <w:bottom w:val="nil"/>
              <w:right w:val="nil"/>
            </w:tcBorders>
            <w:shd w:val="clear" w:color="auto" w:fill="auto"/>
            <w:noWrap/>
            <w:vAlign w:val="bottom"/>
            <w:hideMark/>
          </w:tcPr>
          <w:p w14:paraId="0A6E91E3" w14:textId="77777777" w:rsidR="00540E1B" w:rsidRDefault="00540E1B">
            <w:pPr>
              <w:jc w:val="right"/>
              <w:rPr>
                <w:rFonts w:ascii="Calibri" w:hAnsi="Calibri" w:cs="Calibri"/>
                <w:sz w:val="22"/>
                <w:szCs w:val="22"/>
              </w:rPr>
            </w:pPr>
            <w:r>
              <w:rPr>
                <w:rFonts w:ascii="Calibri" w:hAnsi="Calibri" w:cs="Calibri"/>
                <w:sz w:val="22"/>
                <w:szCs w:val="22"/>
              </w:rPr>
              <w:t>-1</w:t>
            </w:r>
          </w:p>
        </w:tc>
        <w:tc>
          <w:tcPr>
            <w:tcW w:w="1380" w:type="dxa"/>
            <w:tcBorders>
              <w:top w:val="nil"/>
              <w:left w:val="nil"/>
              <w:bottom w:val="nil"/>
              <w:right w:val="nil"/>
            </w:tcBorders>
            <w:shd w:val="clear" w:color="auto" w:fill="auto"/>
            <w:noWrap/>
            <w:vAlign w:val="bottom"/>
            <w:hideMark/>
          </w:tcPr>
          <w:p w14:paraId="4EDF5667" w14:textId="77777777" w:rsidR="00540E1B" w:rsidRDefault="00540E1B">
            <w:pPr>
              <w:jc w:val="right"/>
              <w:rPr>
                <w:rFonts w:ascii="Calibri" w:hAnsi="Calibri" w:cs="Calibri"/>
                <w:sz w:val="22"/>
                <w:szCs w:val="22"/>
              </w:rPr>
            </w:pPr>
            <w:r>
              <w:rPr>
                <w:rFonts w:ascii="Calibri" w:hAnsi="Calibri" w:cs="Calibri"/>
                <w:sz w:val="22"/>
                <w:szCs w:val="22"/>
              </w:rPr>
              <w:t>-0.000001</w:t>
            </w:r>
          </w:p>
        </w:tc>
        <w:tc>
          <w:tcPr>
            <w:tcW w:w="1020" w:type="dxa"/>
            <w:tcBorders>
              <w:top w:val="nil"/>
              <w:left w:val="nil"/>
              <w:bottom w:val="nil"/>
              <w:right w:val="nil"/>
            </w:tcBorders>
            <w:shd w:val="clear" w:color="auto" w:fill="auto"/>
            <w:noWrap/>
            <w:vAlign w:val="bottom"/>
            <w:hideMark/>
          </w:tcPr>
          <w:p w14:paraId="69029C4F" w14:textId="77777777" w:rsidR="00540E1B" w:rsidRDefault="00540E1B">
            <w:pPr>
              <w:jc w:val="right"/>
              <w:rPr>
                <w:rFonts w:ascii="Calibri" w:hAnsi="Calibri" w:cs="Calibri"/>
                <w:sz w:val="22"/>
                <w:szCs w:val="22"/>
              </w:rPr>
            </w:pPr>
            <w:r>
              <w:rPr>
                <w:rFonts w:ascii="Calibri" w:hAnsi="Calibri" w:cs="Calibri"/>
                <w:sz w:val="22"/>
                <w:szCs w:val="22"/>
              </w:rPr>
              <w:t>0.27789</w:t>
            </w:r>
          </w:p>
        </w:tc>
        <w:tc>
          <w:tcPr>
            <w:tcW w:w="1260" w:type="dxa"/>
            <w:tcBorders>
              <w:top w:val="nil"/>
              <w:left w:val="nil"/>
              <w:bottom w:val="nil"/>
              <w:right w:val="nil"/>
            </w:tcBorders>
            <w:shd w:val="clear" w:color="auto" w:fill="auto"/>
            <w:noWrap/>
            <w:vAlign w:val="bottom"/>
            <w:hideMark/>
          </w:tcPr>
          <w:p w14:paraId="24337C4F" w14:textId="77777777" w:rsidR="00540E1B" w:rsidRDefault="00540E1B">
            <w:pPr>
              <w:jc w:val="right"/>
              <w:rPr>
                <w:rFonts w:ascii="Calibri" w:hAnsi="Calibri" w:cs="Calibri"/>
                <w:sz w:val="22"/>
                <w:szCs w:val="22"/>
              </w:rPr>
            </w:pPr>
            <w:r>
              <w:rPr>
                <w:rFonts w:ascii="Calibri" w:hAnsi="Calibri" w:cs="Calibri"/>
                <w:sz w:val="22"/>
                <w:szCs w:val="22"/>
              </w:rPr>
              <w:t>0.790886</w:t>
            </w:r>
          </w:p>
        </w:tc>
        <w:tc>
          <w:tcPr>
            <w:tcW w:w="1580" w:type="dxa"/>
            <w:tcBorders>
              <w:top w:val="nil"/>
              <w:left w:val="nil"/>
              <w:bottom w:val="nil"/>
              <w:right w:val="nil"/>
            </w:tcBorders>
            <w:shd w:val="clear" w:color="auto" w:fill="auto"/>
            <w:noWrap/>
            <w:vAlign w:val="bottom"/>
            <w:hideMark/>
          </w:tcPr>
          <w:p w14:paraId="6634B4F8" w14:textId="77777777" w:rsidR="00540E1B" w:rsidRDefault="00540E1B">
            <w:pPr>
              <w:jc w:val="right"/>
              <w:rPr>
                <w:rFonts w:ascii="Calibri" w:hAnsi="Calibri" w:cs="Calibri"/>
                <w:sz w:val="22"/>
                <w:szCs w:val="22"/>
              </w:rPr>
            </w:pPr>
            <w:r>
              <w:rPr>
                <w:rFonts w:ascii="Calibri" w:hAnsi="Calibri" w:cs="Calibri"/>
                <w:sz w:val="22"/>
                <w:szCs w:val="22"/>
              </w:rPr>
              <w:t>0.085796</w:t>
            </w:r>
          </w:p>
        </w:tc>
      </w:tr>
      <w:tr w:rsidR="00540E1B" w14:paraId="7ED2F83E" w14:textId="77777777" w:rsidTr="00540E1B">
        <w:trPr>
          <w:trHeight w:val="300"/>
        </w:trPr>
        <w:tc>
          <w:tcPr>
            <w:tcW w:w="880" w:type="dxa"/>
            <w:tcBorders>
              <w:top w:val="nil"/>
              <w:left w:val="nil"/>
              <w:bottom w:val="nil"/>
              <w:right w:val="nil"/>
            </w:tcBorders>
            <w:shd w:val="clear" w:color="auto" w:fill="auto"/>
            <w:noWrap/>
            <w:vAlign w:val="bottom"/>
            <w:hideMark/>
          </w:tcPr>
          <w:p w14:paraId="5F9CB044" w14:textId="77777777" w:rsidR="00540E1B" w:rsidRDefault="00540E1B">
            <w:pPr>
              <w:rPr>
                <w:rFonts w:ascii="Calibri" w:hAnsi="Calibri" w:cs="Calibri"/>
                <w:sz w:val="22"/>
                <w:szCs w:val="22"/>
              </w:rPr>
            </w:pPr>
            <w:r>
              <w:rPr>
                <w:rFonts w:ascii="Calibri" w:hAnsi="Calibri" w:cs="Calibri"/>
                <w:sz w:val="22"/>
                <w:szCs w:val="22"/>
              </w:rPr>
              <w:t>7</w:t>
            </w:r>
          </w:p>
        </w:tc>
        <w:tc>
          <w:tcPr>
            <w:tcW w:w="1280" w:type="dxa"/>
            <w:tcBorders>
              <w:top w:val="nil"/>
              <w:left w:val="nil"/>
              <w:bottom w:val="nil"/>
              <w:right w:val="nil"/>
            </w:tcBorders>
            <w:shd w:val="clear" w:color="auto" w:fill="auto"/>
            <w:noWrap/>
            <w:vAlign w:val="bottom"/>
            <w:hideMark/>
          </w:tcPr>
          <w:p w14:paraId="192315D2" w14:textId="77777777" w:rsidR="00540E1B" w:rsidRDefault="00540E1B">
            <w:pPr>
              <w:jc w:val="right"/>
              <w:rPr>
                <w:rFonts w:ascii="Calibri" w:hAnsi="Calibri" w:cs="Calibri"/>
                <w:sz w:val="22"/>
                <w:szCs w:val="22"/>
              </w:rPr>
            </w:pPr>
            <w:r>
              <w:rPr>
                <w:rFonts w:ascii="Calibri" w:hAnsi="Calibri" w:cs="Calibri"/>
                <w:sz w:val="22"/>
                <w:szCs w:val="22"/>
              </w:rPr>
              <w:t>784672</w:t>
            </w:r>
          </w:p>
        </w:tc>
        <w:tc>
          <w:tcPr>
            <w:tcW w:w="1140" w:type="dxa"/>
            <w:tcBorders>
              <w:top w:val="nil"/>
              <w:left w:val="nil"/>
              <w:bottom w:val="nil"/>
              <w:right w:val="nil"/>
            </w:tcBorders>
            <w:shd w:val="clear" w:color="auto" w:fill="auto"/>
            <w:noWrap/>
            <w:vAlign w:val="bottom"/>
            <w:hideMark/>
          </w:tcPr>
          <w:p w14:paraId="7208C917" w14:textId="77777777" w:rsidR="00540E1B" w:rsidRDefault="00540E1B">
            <w:pPr>
              <w:jc w:val="right"/>
              <w:rPr>
                <w:rFonts w:ascii="Calibri" w:hAnsi="Calibri" w:cs="Calibri"/>
                <w:sz w:val="22"/>
                <w:szCs w:val="22"/>
              </w:rPr>
            </w:pPr>
            <w:r>
              <w:rPr>
                <w:rFonts w:ascii="Calibri" w:hAnsi="Calibri" w:cs="Calibri"/>
                <w:sz w:val="22"/>
                <w:szCs w:val="22"/>
              </w:rPr>
              <w:t>0</w:t>
            </w:r>
          </w:p>
        </w:tc>
        <w:tc>
          <w:tcPr>
            <w:tcW w:w="1380" w:type="dxa"/>
            <w:tcBorders>
              <w:top w:val="nil"/>
              <w:left w:val="nil"/>
              <w:bottom w:val="nil"/>
              <w:right w:val="nil"/>
            </w:tcBorders>
            <w:shd w:val="clear" w:color="auto" w:fill="auto"/>
            <w:noWrap/>
            <w:vAlign w:val="bottom"/>
            <w:hideMark/>
          </w:tcPr>
          <w:p w14:paraId="56177336" w14:textId="77777777" w:rsidR="00540E1B" w:rsidRDefault="00540E1B">
            <w:pPr>
              <w:jc w:val="right"/>
              <w:rPr>
                <w:rFonts w:ascii="Calibri" w:hAnsi="Calibri" w:cs="Calibri"/>
                <w:sz w:val="22"/>
                <w:szCs w:val="22"/>
              </w:rPr>
            </w:pPr>
            <w:r>
              <w:rPr>
                <w:rFonts w:ascii="Calibri" w:hAnsi="Calibri" w:cs="Calibri"/>
                <w:sz w:val="22"/>
                <w:szCs w:val="22"/>
              </w:rPr>
              <w:t>0</w:t>
            </w:r>
          </w:p>
        </w:tc>
        <w:tc>
          <w:tcPr>
            <w:tcW w:w="1020" w:type="dxa"/>
            <w:tcBorders>
              <w:top w:val="nil"/>
              <w:left w:val="nil"/>
              <w:bottom w:val="nil"/>
              <w:right w:val="nil"/>
            </w:tcBorders>
            <w:shd w:val="clear" w:color="auto" w:fill="auto"/>
            <w:noWrap/>
            <w:vAlign w:val="bottom"/>
            <w:hideMark/>
          </w:tcPr>
          <w:p w14:paraId="5CABC232" w14:textId="77777777" w:rsidR="00540E1B" w:rsidRDefault="00540E1B">
            <w:pPr>
              <w:jc w:val="right"/>
              <w:rPr>
                <w:rFonts w:ascii="Calibri" w:hAnsi="Calibri" w:cs="Calibri"/>
                <w:sz w:val="22"/>
                <w:szCs w:val="22"/>
              </w:rPr>
            </w:pPr>
            <w:r>
              <w:rPr>
                <w:rFonts w:ascii="Calibri" w:hAnsi="Calibri" w:cs="Calibri"/>
                <w:sz w:val="22"/>
                <w:szCs w:val="22"/>
              </w:rPr>
              <w:t>0.33238</w:t>
            </w:r>
          </w:p>
        </w:tc>
        <w:tc>
          <w:tcPr>
            <w:tcW w:w="1260" w:type="dxa"/>
            <w:tcBorders>
              <w:top w:val="nil"/>
              <w:left w:val="nil"/>
              <w:bottom w:val="nil"/>
              <w:right w:val="nil"/>
            </w:tcBorders>
            <w:shd w:val="clear" w:color="auto" w:fill="auto"/>
            <w:noWrap/>
            <w:vAlign w:val="bottom"/>
            <w:hideMark/>
          </w:tcPr>
          <w:p w14:paraId="4445E15D" w14:textId="77777777" w:rsidR="00540E1B" w:rsidRDefault="00540E1B">
            <w:pPr>
              <w:jc w:val="right"/>
              <w:rPr>
                <w:rFonts w:ascii="Calibri" w:hAnsi="Calibri" w:cs="Calibri"/>
                <w:sz w:val="22"/>
                <w:szCs w:val="22"/>
              </w:rPr>
            </w:pPr>
            <w:r>
              <w:rPr>
                <w:rFonts w:ascii="Calibri" w:hAnsi="Calibri" w:cs="Calibri"/>
                <w:sz w:val="22"/>
                <w:szCs w:val="22"/>
              </w:rPr>
              <w:t>0.657708</w:t>
            </w:r>
          </w:p>
        </w:tc>
        <w:tc>
          <w:tcPr>
            <w:tcW w:w="1580" w:type="dxa"/>
            <w:tcBorders>
              <w:top w:val="nil"/>
              <w:left w:val="nil"/>
              <w:bottom w:val="nil"/>
              <w:right w:val="nil"/>
            </w:tcBorders>
            <w:shd w:val="clear" w:color="auto" w:fill="auto"/>
            <w:noWrap/>
            <w:vAlign w:val="bottom"/>
            <w:hideMark/>
          </w:tcPr>
          <w:p w14:paraId="47E38786" w14:textId="77777777" w:rsidR="00540E1B" w:rsidRDefault="00540E1B">
            <w:pPr>
              <w:jc w:val="right"/>
              <w:rPr>
                <w:rFonts w:ascii="Calibri" w:hAnsi="Calibri" w:cs="Calibri"/>
                <w:sz w:val="22"/>
                <w:szCs w:val="22"/>
              </w:rPr>
            </w:pPr>
            <w:r>
              <w:rPr>
                <w:rFonts w:ascii="Calibri" w:hAnsi="Calibri" w:cs="Calibri"/>
                <w:sz w:val="22"/>
                <w:szCs w:val="22"/>
              </w:rPr>
              <w:t>0.129826</w:t>
            </w:r>
          </w:p>
        </w:tc>
      </w:tr>
      <w:tr w:rsidR="00540E1B" w14:paraId="2115139C" w14:textId="77777777" w:rsidTr="00540E1B">
        <w:trPr>
          <w:trHeight w:val="300"/>
        </w:trPr>
        <w:tc>
          <w:tcPr>
            <w:tcW w:w="880" w:type="dxa"/>
            <w:tcBorders>
              <w:top w:val="nil"/>
              <w:left w:val="nil"/>
              <w:bottom w:val="nil"/>
              <w:right w:val="nil"/>
            </w:tcBorders>
            <w:shd w:val="clear" w:color="auto" w:fill="auto"/>
            <w:noWrap/>
            <w:vAlign w:val="bottom"/>
            <w:hideMark/>
          </w:tcPr>
          <w:p w14:paraId="7E8A572F" w14:textId="77777777" w:rsidR="00540E1B" w:rsidRDefault="00540E1B">
            <w:pPr>
              <w:rPr>
                <w:rFonts w:ascii="Calibri" w:hAnsi="Calibri" w:cs="Calibri"/>
                <w:sz w:val="22"/>
                <w:szCs w:val="22"/>
              </w:rPr>
            </w:pPr>
            <w:r>
              <w:rPr>
                <w:rFonts w:ascii="Calibri" w:hAnsi="Calibri" w:cs="Calibri"/>
                <w:sz w:val="22"/>
                <w:szCs w:val="22"/>
              </w:rPr>
              <w:t>8</w:t>
            </w:r>
          </w:p>
        </w:tc>
        <w:tc>
          <w:tcPr>
            <w:tcW w:w="1280" w:type="dxa"/>
            <w:tcBorders>
              <w:top w:val="nil"/>
              <w:left w:val="nil"/>
              <w:bottom w:val="nil"/>
              <w:right w:val="nil"/>
            </w:tcBorders>
            <w:shd w:val="clear" w:color="auto" w:fill="auto"/>
            <w:noWrap/>
            <w:vAlign w:val="bottom"/>
            <w:hideMark/>
          </w:tcPr>
          <w:p w14:paraId="1C3F9F3C" w14:textId="77777777" w:rsidR="00540E1B" w:rsidRDefault="00540E1B">
            <w:pPr>
              <w:jc w:val="right"/>
              <w:rPr>
                <w:rFonts w:ascii="Calibri" w:hAnsi="Calibri" w:cs="Calibri"/>
                <w:sz w:val="22"/>
                <w:szCs w:val="22"/>
              </w:rPr>
            </w:pPr>
            <w:r>
              <w:rPr>
                <w:rFonts w:ascii="Calibri" w:hAnsi="Calibri" w:cs="Calibri"/>
                <w:sz w:val="22"/>
                <w:szCs w:val="22"/>
              </w:rPr>
              <w:t>784672</w:t>
            </w:r>
          </w:p>
        </w:tc>
        <w:tc>
          <w:tcPr>
            <w:tcW w:w="1140" w:type="dxa"/>
            <w:tcBorders>
              <w:top w:val="nil"/>
              <w:left w:val="nil"/>
              <w:bottom w:val="nil"/>
              <w:right w:val="nil"/>
            </w:tcBorders>
            <w:shd w:val="clear" w:color="auto" w:fill="auto"/>
            <w:noWrap/>
            <w:vAlign w:val="bottom"/>
            <w:hideMark/>
          </w:tcPr>
          <w:p w14:paraId="4FCC8FB2" w14:textId="77777777" w:rsidR="00540E1B" w:rsidRDefault="00540E1B">
            <w:pPr>
              <w:jc w:val="right"/>
              <w:rPr>
                <w:rFonts w:ascii="Calibri" w:hAnsi="Calibri" w:cs="Calibri"/>
                <w:sz w:val="22"/>
                <w:szCs w:val="22"/>
              </w:rPr>
            </w:pPr>
            <w:r>
              <w:rPr>
                <w:rFonts w:ascii="Calibri" w:hAnsi="Calibri" w:cs="Calibri"/>
                <w:sz w:val="22"/>
                <w:szCs w:val="22"/>
              </w:rPr>
              <w:t>0</w:t>
            </w:r>
          </w:p>
        </w:tc>
        <w:tc>
          <w:tcPr>
            <w:tcW w:w="1380" w:type="dxa"/>
            <w:tcBorders>
              <w:top w:val="nil"/>
              <w:left w:val="nil"/>
              <w:bottom w:val="nil"/>
              <w:right w:val="nil"/>
            </w:tcBorders>
            <w:shd w:val="clear" w:color="auto" w:fill="auto"/>
            <w:noWrap/>
            <w:vAlign w:val="bottom"/>
            <w:hideMark/>
          </w:tcPr>
          <w:p w14:paraId="75B183C4" w14:textId="77777777" w:rsidR="00540E1B" w:rsidRDefault="00540E1B">
            <w:pPr>
              <w:jc w:val="right"/>
              <w:rPr>
                <w:rFonts w:ascii="Calibri" w:hAnsi="Calibri" w:cs="Calibri"/>
                <w:sz w:val="22"/>
                <w:szCs w:val="22"/>
              </w:rPr>
            </w:pPr>
            <w:r>
              <w:rPr>
                <w:rFonts w:ascii="Calibri" w:hAnsi="Calibri" w:cs="Calibri"/>
                <w:sz w:val="22"/>
                <w:szCs w:val="22"/>
              </w:rPr>
              <w:t>0</w:t>
            </w:r>
          </w:p>
        </w:tc>
        <w:tc>
          <w:tcPr>
            <w:tcW w:w="1020" w:type="dxa"/>
            <w:tcBorders>
              <w:top w:val="nil"/>
              <w:left w:val="nil"/>
              <w:bottom w:val="nil"/>
              <w:right w:val="nil"/>
            </w:tcBorders>
            <w:shd w:val="clear" w:color="auto" w:fill="auto"/>
            <w:noWrap/>
            <w:vAlign w:val="bottom"/>
            <w:hideMark/>
          </w:tcPr>
          <w:p w14:paraId="3618E9D2" w14:textId="77777777" w:rsidR="00540E1B" w:rsidRDefault="00540E1B">
            <w:pPr>
              <w:jc w:val="right"/>
              <w:rPr>
                <w:rFonts w:ascii="Calibri" w:hAnsi="Calibri" w:cs="Calibri"/>
                <w:sz w:val="22"/>
                <w:szCs w:val="22"/>
              </w:rPr>
            </w:pPr>
            <w:r>
              <w:rPr>
                <w:rFonts w:ascii="Calibri" w:hAnsi="Calibri" w:cs="Calibri"/>
                <w:sz w:val="22"/>
                <w:szCs w:val="22"/>
              </w:rPr>
              <w:t>0.51225</w:t>
            </w:r>
          </w:p>
        </w:tc>
        <w:tc>
          <w:tcPr>
            <w:tcW w:w="1260" w:type="dxa"/>
            <w:tcBorders>
              <w:top w:val="nil"/>
              <w:left w:val="nil"/>
              <w:bottom w:val="nil"/>
              <w:right w:val="nil"/>
            </w:tcBorders>
            <w:shd w:val="clear" w:color="auto" w:fill="auto"/>
            <w:noWrap/>
            <w:vAlign w:val="bottom"/>
            <w:hideMark/>
          </w:tcPr>
          <w:p w14:paraId="74CEDB40" w14:textId="77777777" w:rsidR="00540E1B" w:rsidRDefault="00540E1B">
            <w:pPr>
              <w:jc w:val="right"/>
              <w:rPr>
                <w:rFonts w:ascii="Calibri" w:hAnsi="Calibri" w:cs="Calibri"/>
                <w:sz w:val="22"/>
                <w:szCs w:val="22"/>
              </w:rPr>
            </w:pPr>
            <w:r>
              <w:rPr>
                <w:rFonts w:ascii="Calibri" w:hAnsi="Calibri" w:cs="Calibri"/>
                <w:sz w:val="22"/>
                <w:szCs w:val="22"/>
              </w:rPr>
              <w:t>0.502384</w:t>
            </w:r>
          </w:p>
        </w:tc>
        <w:tc>
          <w:tcPr>
            <w:tcW w:w="1580" w:type="dxa"/>
            <w:tcBorders>
              <w:top w:val="nil"/>
              <w:left w:val="nil"/>
              <w:bottom w:val="nil"/>
              <w:right w:val="nil"/>
            </w:tcBorders>
            <w:shd w:val="clear" w:color="auto" w:fill="auto"/>
            <w:noWrap/>
            <w:vAlign w:val="bottom"/>
            <w:hideMark/>
          </w:tcPr>
          <w:p w14:paraId="3EBE2EC5" w14:textId="77777777" w:rsidR="00540E1B" w:rsidRDefault="00540E1B">
            <w:pPr>
              <w:jc w:val="right"/>
              <w:rPr>
                <w:rFonts w:ascii="Calibri" w:hAnsi="Calibri" w:cs="Calibri"/>
                <w:sz w:val="22"/>
                <w:szCs w:val="22"/>
              </w:rPr>
            </w:pPr>
            <w:r>
              <w:rPr>
                <w:rFonts w:ascii="Calibri" w:hAnsi="Calibri" w:cs="Calibri"/>
                <w:sz w:val="22"/>
                <w:szCs w:val="22"/>
              </w:rPr>
              <w:t>0.11597</w:t>
            </w:r>
          </w:p>
        </w:tc>
      </w:tr>
      <w:tr w:rsidR="00540E1B" w14:paraId="46CF6FAF" w14:textId="77777777" w:rsidTr="00540E1B">
        <w:trPr>
          <w:trHeight w:val="300"/>
        </w:trPr>
        <w:tc>
          <w:tcPr>
            <w:tcW w:w="880" w:type="dxa"/>
            <w:tcBorders>
              <w:top w:val="nil"/>
              <w:left w:val="nil"/>
              <w:bottom w:val="nil"/>
              <w:right w:val="nil"/>
            </w:tcBorders>
            <w:shd w:val="clear" w:color="auto" w:fill="auto"/>
            <w:noWrap/>
            <w:vAlign w:val="bottom"/>
            <w:hideMark/>
          </w:tcPr>
          <w:p w14:paraId="409E0B8F" w14:textId="77777777" w:rsidR="00540E1B" w:rsidRDefault="00540E1B">
            <w:pPr>
              <w:rPr>
                <w:rFonts w:ascii="Calibri" w:hAnsi="Calibri" w:cs="Calibri"/>
                <w:sz w:val="22"/>
                <w:szCs w:val="22"/>
              </w:rPr>
            </w:pPr>
            <w:r>
              <w:rPr>
                <w:rFonts w:ascii="Calibri" w:hAnsi="Calibri" w:cs="Calibri"/>
                <w:sz w:val="22"/>
                <w:szCs w:val="22"/>
              </w:rPr>
              <w:t>9</w:t>
            </w:r>
          </w:p>
        </w:tc>
        <w:tc>
          <w:tcPr>
            <w:tcW w:w="1280" w:type="dxa"/>
            <w:tcBorders>
              <w:top w:val="nil"/>
              <w:left w:val="nil"/>
              <w:bottom w:val="nil"/>
              <w:right w:val="nil"/>
            </w:tcBorders>
            <w:shd w:val="clear" w:color="auto" w:fill="auto"/>
            <w:noWrap/>
            <w:vAlign w:val="bottom"/>
            <w:hideMark/>
          </w:tcPr>
          <w:p w14:paraId="0A2E3628" w14:textId="77777777" w:rsidR="00540E1B" w:rsidRDefault="00540E1B">
            <w:pPr>
              <w:jc w:val="right"/>
              <w:rPr>
                <w:rFonts w:ascii="Calibri" w:hAnsi="Calibri" w:cs="Calibri"/>
                <w:sz w:val="22"/>
                <w:szCs w:val="22"/>
              </w:rPr>
            </w:pPr>
            <w:r>
              <w:rPr>
                <w:rFonts w:ascii="Calibri" w:hAnsi="Calibri" w:cs="Calibri"/>
                <w:sz w:val="22"/>
                <w:szCs w:val="22"/>
              </w:rPr>
              <w:t>784672</w:t>
            </w:r>
          </w:p>
        </w:tc>
        <w:tc>
          <w:tcPr>
            <w:tcW w:w="1140" w:type="dxa"/>
            <w:tcBorders>
              <w:top w:val="nil"/>
              <w:left w:val="nil"/>
              <w:bottom w:val="nil"/>
              <w:right w:val="nil"/>
            </w:tcBorders>
            <w:shd w:val="clear" w:color="auto" w:fill="auto"/>
            <w:noWrap/>
            <w:vAlign w:val="bottom"/>
            <w:hideMark/>
          </w:tcPr>
          <w:p w14:paraId="29E061C4" w14:textId="77777777" w:rsidR="00540E1B" w:rsidRDefault="00540E1B">
            <w:pPr>
              <w:jc w:val="right"/>
              <w:rPr>
                <w:rFonts w:ascii="Calibri" w:hAnsi="Calibri" w:cs="Calibri"/>
                <w:sz w:val="22"/>
                <w:szCs w:val="22"/>
              </w:rPr>
            </w:pPr>
            <w:r>
              <w:rPr>
                <w:rFonts w:ascii="Calibri" w:hAnsi="Calibri" w:cs="Calibri"/>
                <w:sz w:val="22"/>
                <w:szCs w:val="22"/>
              </w:rPr>
              <w:t>0</w:t>
            </w:r>
          </w:p>
        </w:tc>
        <w:tc>
          <w:tcPr>
            <w:tcW w:w="1380" w:type="dxa"/>
            <w:tcBorders>
              <w:top w:val="nil"/>
              <w:left w:val="nil"/>
              <w:bottom w:val="nil"/>
              <w:right w:val="nil"/>
            </w:tcBorders>
            <w:shd w:val="clear" w:color="auto" w:fill="auto"/>
            <w:noWrap/>
            <w:vAlign w:val="bottom"/>
            <w:hideMark/>
          </w:tcPr>
          <w:p w14:paraId="20136FC0" w14:textId="77777777" w:rsidR="00540E1B" w:rsidRDefault="00540E1B">
            <w:pPr>
              <w:jc w:val="right"/>
              <w:rPr>
                <w:rFonts w:ascii="Calibri" w:hAnsi="Calibri" w:cs="Calibri"/>
                <w:sz w:val="22"/>
                <w:szCs w:val="22"/>
              </w:rPr>
            </w:pPr>
            <w:r>
              <w:rPr>
                <w:rFonts w:ascii="Calibri" w:hAnsi="Calibri" w:cs="Calibri"/>
                <w:sz w:val="22"/>
                <w:szCs w:val="22"/>
              </w:rPr>
              <w:t>0</w:t>
            </w:r>
          </w:p>
        </w:tc>
        <w:tc>
          <w:tcPr>
            <w:tcW w:w="1020" w:type="dxa"/>
            <w:tcBorders>
              <w:top w:val="nil"/>
              <w:left w:val="nil"/>
              <w:bottom w:val="nil"/>
              <w:right w:val="nil"/>
            </w:tcBorders>
            <w:shd w:val="clear" w:color="auto" w:fill="auto"/>
            <w:noWrap/>
            <w:vAlign w:val="bottom"/>
            <w:hideMark/>
          </w:tcPr>
          <w:p w14:paraId="24B2E089" w14:textId="77777777" w:rsidR="00540E1B" w:rsidRDefault="00540E1B">
            <w:pPr>
              <w:jc w:val="right"/>
              <w:rPr>
                <w:rFonts w:ascii="Calibri" w:hAnsi="Calibri" w:cs="Calibri"/>
                <w:sz w:val="22"/>
                <w:szCs w:val="22"/>
              </w:rPr>
            </w:pPr>
            <w:r>
              <w:rPr>
                <w:rFonts w:ascii="Calibri" w:hAnsi="Calibri" w:cs="Calibri"/>
                <w:sz w:val="22"/>
                <w:szCs w:val="22"/>
              </w:rPr>
              <w:t>0.21717</w:t>
            </w:r>
          </w:p>
        </w:tc>
        <w:tc>
          <w:tcPr>
            <w:tcW w:w="1260" w:type="dxa"/>
            <w:tcBorders>
              <w:top w:val="nil"/>
              <w:left w:val="nil"/>
              <w:bottom w:val="nil"/>
              <w:right w:val="nil"/>
            </w:tcBorders>
            <w:shd w:val="clear" w:color="auto" w:fill="auto"/>
            <w:noWrap/>
            <w:vAlign w:val="bottom"/>
            <w:hideMark/>
          </w:tcPr>
          <w:p w14:paraId="7D5C9BB1" w14:textId="77777777" w:rsidR="00540E1B" w:rsidRDefault="00540E1B">
            <w:pPr>
              <w:jc w:val="right"/>
              <w:rPr>
                <w:rFonts w:ascii="Calibri" w:hAnsi="Calibri" w:cs="Calibri"/>
                <w:sz w:val="22"/>
                <w:szCs w:val="22"/>
              </w:rPr>
            </w:pPr>
            <w:r>
              <w:rPr>
                <w:rFonts w:ascii="Calibri" w:hAnsi="Calibri" w:cs="Calibri"/>
                <w:sz w:val="22"/>
                <w:szCs w:val="22"/>
              </w:rPr>
              <w:t>0.836227</w:t>
            </w:r>
          </w:p>
        </w:tc>
        <w:tc>
          <w:tcPr>
            <w:tcW w:w="1580" w:type="dxa"/>
            <w:tcBorders>
              <w:top w:val="nil"/>
              <w:left w:val="nil"/>
              <w:bottom w:val="nil"/>
              <w:right w:val="nil"/>
            </w:tcBorders>
            <w:shd w:val="clear" w:color="auto" w:fill="auto"/>
            <w:noWrap/>
            <w:vAlign w:val="bottom"/>
            <w:hideMark/>
          </w:tcPr>
          <w:p w14:paraId="64CDD0C8" w14:textId="77777777" w:rsidR="00540E1B" w:rsidRDefault="00540E1B">
            <w:pPr>
              <w:jc w:val="right"/>
              <w:rPr>
                <w:rFonts w:ascii="Calibri" w:hAnsi="Calibri" w:cs="Calibri"/>
                <w:sz w:val="22"/>
                <w:szCs w:val="22"/>
              </w:rPr>
            </w:pPr>
            <w:r>
              <w:rPr>
                <w:rFonts w:ascii="Calibri" w:hAnsi="Calibri" w:cs="Calibri"/>
                <w:sz w:val="22"/>
                <w:szCs w:val="22"/>
              </w:rPr>
              <w:t>0.073328</w:t>
            </w:r>
          </w:p>
        </w:tc>
      </w:tr>
      <w:tr w:rsidR="00540E1B" w14:paraId="5097DAB6" w14:textId="77777777" w:rsidTr="00540E1B">
        <w:trPr>
          <w:trHeight w:val="300"/>
        </w:trPr>
        <w:tc>
          <w:tcPr>
            <w:tcW w:w="880" w:type="dxa"/>
            <w:tcBorders>
              <w:top w:val="nil"/>
              <w:left w:val="nil"/>
              <w:bottom w:val="nil"/>
              <w:right w:val="nil"/>
            </w:tcBorders>
            <w:shd w:val="clear" w:color="auto" w:fill="auto"/>
            <w:noWrap/>
            <w:vAlign w:val="bottom"/>
            <w:hideMark/>
          </w:tcPr>
          <w:p w14:paraId="1EFC5D0D" w14:textId="77777777" w:rsidR="00540E1B" w:rsidRDefault="00540E1B">
            <w:pPr>
              <w:rPr>
                <w:rFonts w:ascii="Calibri" w:hAnsi="Calibri" w:cs="Calibri"/>
                <w:sz w:val="22"/>
                <w:szCs w:val="22"/>
              </w:rPr>
            </w:pPr>
            <w:r>
              <w:rPr>
                <w:rFonts w:ascii="Calibri" w:hAnsi="Calibri" w:cs="Calibri"/>
                <w:sz w:val="22"/>
                <w:szCs w:val="22"/>
              </w:rPr>
              <w:lastRenderedPageBreak/>
              <w:t>10</w:t>
            </w:r>
          </w:p>
        </w:tc>
        <w:tc>
          <w:tcPr>
            <w:tcW w:w="1280" w:type="dxa"/>
            <w:tcBorders>
              <w:top w:val="nil"/>
              <w:left w:val="nil"/>
              <w:bottom w:val="nil"/>
              <w:right w:val="nil"/>
            </w:tcBorders>
            <w:shd w:val="clear" w:color="auto" w:fill="auto"/>
            <w:noWrap/>
            <w:vAlign w:val="bottom"/>
            <w:hideMark/>
          </w:tcPr>
          <w:p w14:paraId="528A7258" w14:textId="77777777" w:rsidR="00540E1B" w:rsidRDefault="00540E1B">
            <w:pPr>
              <w:jc w:val="right"/>
              <w:rPr>
                <w:rFonts w:ascii="Calibri" w:hAnsi="Calibri" w:cs="Calibri"/>
                <w:sz w:val="22"/>
                <w:szCs w:val="22"/>
              </w:rPr>
            </w:pPr>
            <w:r>
              <w:rPr>
                <w:rFonts w:ascii="Calibri" w:hAnsi="Calibri" w:cs="Calibri"/>
                <w:sz w:val="22"/>
                <w:szCs w:val="22"/>
              </w:rPr>
              <w:t>784671</w:t>
            </w:r>
          </w:p>
        </w:tc>
        <w:tc>
          <w:tcPr>
            <w:tcW w:w="1140" w:type="dxa"/>
            <w:tcBorders>
              <w:top w:val="nil"/>
              <w:left w:val="nil"/>
              <w:bottom w:val="nil"/>
              <w:right w:val="nil"/>
            </w:tcBorders>
            <w:shd w:val="clear" w:color="auto" w:fill="auto"/>
            <w:noWrap/>
            <w:vAlign w:val="bottom"/>
            <w:hideMark/>
          </w:tcPr>
          <w:p w14:paraId="245183C5" w14:textId="77777777" w:rsidR="00540E1B" w:rsidRDefault="00540E1B">
            <w:pPr>
              <w:jc w:val="right"/>
              <w:rPr>
                <w:rFonts w:ascii="Calibri" w:hAnsi="Calibri" w:cs="Calibri"/>
                <w:sz w:val="22"/>
                <w:szCs w:val="22"/>
              </w:rPr>
            </w:pPr>
            <w:r>
              <w:rPr>
                <w:rFonts w:ascii="Calibri" w:hAnsi="Calibri" w:cs="Calibri"/>
                <w:sz w:val="22"/>
                <w:szCs w:val="22"/>
              </w:rPr>
              <w:t>-1</w:t>
            </w:r>
          </w:p>
        </w:tc>
        <w:tc>
          <w:tcPr>
            <w:tcW w:w="1380" w:type="dxa"/>
            <w:tcBorders>
              <w:top w:val="nil"/>
              <w:left w:val="nil"/>
              <w:bottom w:val="nil"/>
              <w:right w:val="nil"/>
            </w:tcBorders>
            <w:shd w:val="clear" w:color="auto" w:fill="auto"/>
            <w:noWrap/>
            <w:vAlign w:val="bottom"/>
            <w:hideMark/>
          </w:tcPr>
          <w:p w14:paraId="6638E253" w14:textId="77777777" w:rsidR="00540E1B" w:rsidRDefault="00540E1B">
            <w:pPr>
              <w:jc w:val="right"/>
              <w:rPr>
                <w:rFonts w:ascii="Calibri" w:hAnsi="Calibri" w:cs="Calibri"/>
                <w:sz w:val="22"/>
                <w:szCs w:val="22"/>
              </w:rPr>
            </w:pPr>
            <w:r>
              <w:rPr>
                <w:rFonts w:ascii="Calibri" w:hAnsi="Calibri" w:cs="Calibri"/>
                <w:sz w:val="22"/>
                <w:szCs w:val="22"/>
              </w:rPr>
              <w:t>-0.000001</w:t>
            </w:r>
          </w:p>
        </w:tc>
        <w:tc>
          <w:tcPr>
            <w:tcW w:w="1020" w:type="dxa"/>
            <w:tcBorders>
              <w:top w:val="nil"/>
              <w:left w:val="nil"/>
              <w:bottom w:val="nil"/>
              <w:right w:val="nil"/>
            </w:tcBorders>
            <w:shd w:val="clear" w:color="auto" w:fill="auto"/>
            <w:noWrap/>
            <w:vAlign w:val="bottom"/>
            <w:hideMark/>
          </w:tcPr>
          <w:p w14:paraId="2F4F681D" w14:textId="77777777" w:rsidR="00540E1B" w:rsidRDefault="00540E1B">
            <w:pPr>
              <w:jc w:val="right"/>
              <w:rPr>
                <w:rFonts w:ascii="Calibri" w:hAnsi="Calibri" w:cs="Calibri"/>
                <w:sz w:val="22"/>
                <w:szCs w:val="22"/>
              </w:rPr>
            </w:pPr>
            <w:r>
              <w:rPr>
                <w:rFonts w:ascii="Calibri" w:hAnsi="Calibri" w:cs="Calibri"/>
                <w:sz w:val="22"/>
                <w:szCs w:val="22"/>
              </w:rPr>
              <w:t>0.36612</w:t>
            </w:r>
          </w:p>
        </w:tc>
        <w:tc>
          <w:tcPr>
            <w:tcW w:w="1260" w:type="dxa"/>
            <w:tcBorders>
              <w:top w:val="nil"/>
              <w:left w:val="nil"/>
              <w:bottom w:val="nil"/>
              <w:right w:val="nil"/>
            </w:tcBorders>
            <w:shd w:val="clear" w:color="auto" w:fill="auto"/>
            <w:noWrap/>
            <w:vAlign w:val="bottom"/>
            <w:hideMark/>
          </w:tcPr>
          <w:p w14:paraId="1459F1D6" w14:textId="77777777" w:rsidR="00540E1B" w:rsidRDefault="00540E1B">
            <w:pPr>
              <w:jc w:val="right"/>
              <w:rPr>
                <w:rFonts w:ascii="Calibri" w:hAnsi="Calibri" w:cs="Calibri"/>
                <w:sz w:val="22"/>
                <w:szCs w:val="22"/>
              </w:rPr>
            </w:pPr>
            <w:r>
              <w:rPr>
                <w:rFonts w:ascii="Calibri" w:hAnsi="Calibri" w:cs="Calibri"/>
                <w:sz w:val="22"/>
                <w:szCs w:val="22"/>
              </w:rPr>
              <w:t>0.391272</w:t>
            </w:r>
          </w:p>
        </w:tc>
        <w:tc>
          <w:tcPr>
            <w:tcW w:w="1580" w:type="dxa"/>
            <w:tcBorders>
              <w:top w:val="nil"/>
              <w:left w:val="nil"/>
              <w:bottom w:val="nil"/>
              <w:right w:val="nil"/>
            </w:tcBorders>
            <w:shd w:val="clear" w:color="auto" w:fill="auto"/>
            <w:noWrap/>
            <w:vAlign w:val="bottom"/>
            <w:hideMark/>
          </w:tcPr>
          <w:p w14:paraId="599F554A" w14:textId="77777777" w:rsidR="00540E1B" w:rsidRDefault="00540E1B">
            <w:pPr>
              <w:jc w:val="right"/>
              <w:rPr>
                <w:rFonts w:ascii="Calibri" w:hAnsi="Calibri" w:cs="Calibri"/>
                <w:sz w:val="22"/>
                <w:szCs w:val="22"/>
              </w:rPr>
            </w:pPr>
            <w:r>
              <w:rPr>
                <w:rFonts w:ascii="Calibri" w:hAnsi="Calibri" w:cs="Calibri"/>
                <w:sz w:val="22"/>
                <w:szCs w:val="22"/>
              </w:rPr>
              <w:t>0.178007</w:t>
            </w:r>
          </w:p>
        </w:tc>
      </w:tr>
      <w:tr w:rsidR="00540E1B" w14:paraId="415D93C9" w14:textId="77777777" w:rsidTr="00540E1B">
        <w:trPr>
          <w:trHeight w:val="300"/>
        </w:trPr>
        <w:tc>
          <w:tcPr>
            <w:tcW w:w="880" w:type="dxa"/>
            <w:tcBorders>
              <w:top w:val="nil"/>
              <w:left w:val="nil"/>
              <w:bottom w:val="nil"/>
              <w:right w:val="nil"/>
            </w:tcBorders>
            <w:shd w:val="clear" w:color="auto" w:fill="auto"/>
            <w:noWrap/>
            <w:vAlign w:val="bottom"/>
            <w:hideMark/>
          </w:tcPr>
          <w:p w14:paraId="6CAE685B" w14:textId="77777777" w:rsidR="00540E1B" w:rsidRDefault="00540E1B">
            <w:pPr>
              <w:rPr>
                <w:rFonts w:ascii="Calibri" w:hAnsi="Calibri" w:cs="Calibri"/>
                <w:sz w:val="22"/>
                <w:szCs w:val="22"/>
              </w:rPr>
            </w:pPr>
            <w:r>
              <w:rPr>
                <w:rFonts w:ascii="Calibri" w:hAnsi="Calibri" w:cs="Calibri"/>
                <w:sz w:val="22"/>
                <w:szCs w:val="22"/>
              </w:rPr>
              <w:t>11</w:t>
            </w:r>
          </w:p>
        </w:tc>
        <w:tc>
          <w:tcPr>
            <w:tcW w:w="1280" w:type="dxa"/>
            <w:tcBorders>
              <w:top w:val="nil"/>
              <w:left w:val="nil"/>
              <w:bottom w:val="nil"/>
              <w:right w:val="nil"/>
            </w:tcBorders>
            <w:shd w:val="clear" w:color="auto" w:fill="auto"/>
            <w:noWrap/>
            <w:vAlign w:val="bottom"/>
            <w:hideMark/>
          </w:tcPr>
          <w:p w14:paraId="79E66F01" w14:textId="77777777" w:rsidR="00540E1B" w:rsidRDefault="00540E1B">
            <w:pPr>
              <w:jc w:val="right"/>
              <w:rPr>
                <w:rFonts w:ascii="Calibri" w:hAnsi="Calibri" w:cs="Calibri"/>
                <w:sz w:val="22"/>
                <w:szCs w:val="22"/>
              </w:rPr>
            </w:pPr>
            <w:r>
              <w:rPr>
                <w:rFonts w:ascii="Calibri" w:hAnsi="Calibri" w:cs="Calibri"/>
                <w:sz w:val="22"/>
                <w:szCs w:val="22"/>
              </w:rPr>
              <w:t>784673</w:t>
            </w:r>
          </w:p>
        </w:tc>
        <w:tc>
          <w:tcPr>
            <w:tcW w:w="1140" w:type="dxa"/>
            <w:tcBorders>
              <w:top w:val="nil"/>
              <w:left w:val="nil"/>
              <w:bottom w:val="nil"/>
              <w:right w:val="nil"/>
            </w:tcBorders>
            <w:shd w:val="clear" w:color="auto" w:fill="auto"/>
            <w:noWrap/>
            <w:vAlign w:val="bottom"/>
            <w:hideMark/>
          </w:tcPr>
          <w:p w14:paraId="183D74A0" w14:textId="77777777" w:rsidR="00540E1B" w:rsidRDefault="00540E1B">
            <w:pPr>
              <w:jc w:val="right"/>
              <w:rPr>
                <w:rFonts w:ascii="Calibri" w:hAnsi="Calibri" w:cs="Calibri"/>
                <w:sz w:val="22"/>
                <w:szCs w:val="22"/>
              </w:rPr>
            </w:pPr>
            <w:r>
              <w:rPr>
                <w:rFonts w:ascii="Calibri" w:hAnsi="Calibri" w:cs="Calibri"/>
                <w:sz w:val="22"/>
                <w:szCs w:val="22"/>
              </w:rPr>
              <w:t>1</w:t>
            </w:r>
          </w:p>
        </w:tc>
        <w:tc>
          <w:tcPr>
            <w:tcW w:w="1380" w:type="dxa"/>
            <w:tcBorders>
              <w:top w:val="nil"/>
              <w:left w:val="nil"/>
              <w:bottom w:val="nil"/>
              <w:right w:val="nil"/>
            </w:tcBorders>
            <w:shd w:val="clear" w:color="auto" w:fill="auto"/>
            <w:noWrap/>
            <w:vAlign w:val="bottom"/>
            <w:hideMark/>
          </w:tcPr>
          <w:p w14:paraId="08AFC9F6" w14:textId="77777777" w:rsidR="00540E1B" w:rsidRDefault="00540E1B">
            <w:pPr>
              <w:jc w:val="right"/>
              <w:rPr>
                <w:rFonts w:ascii="Calibri" w:hAnsi="Calibri" w:cs="Calibri"/>
                <w:sz w:val="22"/>
                <w:szCs w:val="22"/>
              </w:rPr>
            </w:pPr>
            <w:r>
              <w:rPr>
                <w:rFonts w:ascii="Calibri" w:hAnsi="Calibri" w:cs="Calibri"/>
                <w:sz w:val="22"/>
                <w:szCs w:val="22"/>
              </w:rPr>
              <w:t>0.000001</w:t>
            </w:r>
          </w:p>
        </w:tc>
        <w:tc>
          <w:tcPr>
            <w:tcW w:w="1020" w:type="dxa"/>
            <w:tcBorders>
              <w:top w:val="nil"/>
              <w:left w:val="nil"/>
              <w:bottom w:val="nil"/>
              <w:right w:val="nil"/>
            </w:tcBorders>
            <w:shd w:val="clear" w:color="auto" w:fill="auto"/>
            <w:noWrap/>
            <w:vAlign w:val="bottom"/>
            <w:hideMark/>
          </w:tcPr>
          <w:p w14:paraId="5AE39FCF" w14:textId="77777777" w:rsidR="00540E1B" w:rsidRDefault="00540E1B">
            <w:pPr>
              <w:jc w:val="right"/>
              <w:rPr>
                <w:rFonts w:ascii="Calibri" w:hAnsi="Calibri" w:cs="Calibri"/>
                <w:sz w:val="22"/>
                <w:szCs w:val="22"/>
              </w:rPr>
            </w:pPr>
            <w:r>
              <w:rPr>
                <w:rFonts w:ascii="Calibri" w:hAnsi="Calibri" w:cs="Calibri"/>
                <w:sz w:val="22"/>
                <w:szCs w:val="22"/>
              </w:rPr>
              <w:t>0.39101</w:t>
            </w:r>
          </w:p>
        </w:tc>
        <w:tc>
          <w:tcPr>
            <w:tcW w:w="1260" w:type="dxa"/>
            <w:tcBorders>
              <w:top w:val="nil"/>
              <w:left w:val="nil"/>
              <w:bottom w:val="nil"/>
              <w:right w:val="nil"/>
            </w:tcBorders>
            <w:shd w:val="clear" w:color="auto" w:fill="auto"/>
            <w:noWrap/>
            <w:vAlign w:val="bottom"/>
            <w:hideMark/>
          </w:tcPr>
          <w:p w14:paraId="69769FF0" w14:textId="77777777" w:rsidR="00540E1B" w:rsidRDefault="00540E1B">
            <w:pPr>
              <w:jc w:val="right"/>
              <w:rPr>
                <w:rFonts w:ascii="Calibri" w:hAnsi="Calibri" w:cs="Calibri"/>
                <w:sz w:val="22"/>
                <w:szCs w:val="22"/>
              </w:rPr>
            </w:pPr>
            <w:r>
              <w:rPr>
                <w:rFonts w:ascii="Calibri" w:hAnsi="Calibri" w:cs="Calibri"/>
                <w:sz w:val="22"/>
                <w:szCs w:val="22"/>
              </w:rPr>
              <w:t>0.484256</w:t>
            </w:r>
          </w:p>
        </w:tc>
        <w:tc>
          <w:tcPr>
            <w:tcW w:w="1580" w:type="dxa"/>
            <w:tcBorders>
              <w:top w:val="nil"/>
              <w:left w:val="nil"/>
              <w:bottom w:val="nil"/>
              <w:right w:val="nil"/>
            </w:tcBorders>
            <w:shd w:val="clear" w:color="auto" w:fill="auto"/>
            <w:noWrap/>
            <w:vAlign w:val="bottom"/>
            <w:hideMark/>
          </w:tcPr>
          <w:p w14:paraId="06E2AEEE" w14:textId="77777777" w:rsidR="00540E1B" w:rsidRDefault="00540E1B">
            <w:pPr>
              <w:jc w:val="right"/>
              <w:rPr>
                <w:rFonts w:ascii="Calibri" w:hAnsi="Calibri" w:cs="Calibri"/>
                <w:sz w:val="22"/>
                <w:szCs w:val="22"/>
              </w:rPr>
            </w:pPr>
            <w:r>
              <w:rPr>
                <w:rFonts w:ascii="Calibri" w:hAnsi="Calibri" w:cs="Calibri"/>
                <w:sz w:val="22"/>
                <w:szCs w:val="22"/>
              </w:rPr>
              <w:t>0.117923</w:t>
            </w:r>
          </w:p>
        </w:tc>
      </w:tr>
    </w:tbl>
    <w:p w14:paraId="3DDA6046" w14:textId="77777777" w:rsidR="00540E1B" w:rsidRDefault="00540E1B" w:rsidP="006C430A">
      <w:pPr>
        <w:spacing w:line="480" w:lineRule="auto"/>
        <w:rPr>
          <w:rFonts w:ascii="Times" w:hAnsi="Times"/>
          <w:b/>
          <w:bCs/>
          <w:sz w:val="32"/>
          <w:szCs w:val="32"/>
        </w:rPr>
      </w:pPr>
    </w:p>
    <w:p w14:paraId="46BE83D4" w14:textId="6B8D7D59" w:rsidR="006C430A" w:rsidRDefault="006C430A" w:rsidP="006C430A">
      <w:pPr>
        <w:spacing w:line="480" w:lineRule="auto"/>
        <w:rPr>
          <w:rFonts w:ascii="Times" w:hAnsi="Times"/>
          <w:b/>
          <w:bCs/>
          <w:sz w:val="32"/>
          <w:szCs w:val="32"/>
        </w:rPr>
      </w:pPr>
      <w:r>
        <w:rPr>
          <w:rFonts w:ascii="Times" w:hAnsi="Times"/>
          <w:b/>
          <w:bCs/>
          <w:sz w:val="32"/>
          <w:szCs w:val="32"/>
        </w:rPr>
        <w:t>Map 2: Communities of Interest</w:t>
      </w:r>
    </w:p>
    <w:tbl>
      <w:tblPr>
        <w:tblW w:w="8540" w:type="dxa"/>
        <w:tblLook w:val="04A0" w:firstRow="1" w:lastRow="0" w:firstColumn="1" w:lastColumn="0" w:noHBand="0" w:noVBand="1"/>
      </w:tblPr>
      <w:tblGrid>
        <w:gridCol w:w="1800"/>
        <w:gridCol w:w="1380"/>
        <w:gridCol w:w="1140"/>
        <w:gridCol w:w="1620"/>
        <w:gridCol w:w="1580"/>
        <w:gridCol w:w="1020"/>
      </w:tblGrid>
      <w:tr w:rsidR="009C2A2E" w14:paraId="003C9B07" w14:textId="77777777" w:rsidTr="009C2A2E">
        <w:trPr>
          <w:trHeight w:val="300"/>
        </w:trPr>
        <w:tc>
          <w:tcPr>
            <w:tcW w:w="1800" w:type="dxa"/>
            <w:tcBorders>
              <w:top w:val="nil"/>
              <w:left w:val="nil"/>
              <w:bottom w:val="nil"/>
              <w:right w:val="nil"/>
            </w:tcBorders>
            <w:shd w:val="clear" w:color="auto" w:fill="auto"/>
            <w:noWrap/>
            <w:vAlign w:val="bottom"/>
            <w:hideMark/>
          </w:tcPr>
          <w:p w14:paraId="5C58AA2D" w14:textId="77777777" w:rsidR="009C2A2E" w:rsidRDefault="009C2A2E">
            <w:pPr>
              <w:rPr>
                <w:rFonts w:ascii="Calibri" w:hAnsi="Calibri" w:cs="Calibri"/>
                <w:b/>
                <w:bCs/>
                <w:sz w:val="22"/>
                <w:szCs w:val="22"/>
              </w:rPr>
            </w:pPr>
            <w:r>
              <w:rPr>
                <w:rFonts w:ascii="Calibri" w:hAnsi="Calibri" w:cs="Calibri"/>
                <w:b/>
                <w:bCs/>
                <w:sz w:val="22"/>
                <w:szCs w:val="22"/>
              </w:rPr>
              <w:t>District Number</w:t>
            </w:r>
          </w:p>
        </w:tc>
        <w:tc>
          <w:tcPr>
            <w:tcW w:w="1380" w:type="dxa"/>
            <w:tcBorders>
              <w:top w:val="nil"/>
              <w:left w:val="nil"/>
              <w:bottom w:val="nil"/>
              <w:right w:val="nil"/>
            </w:tcBorders>
            <w:shd w:val="clear" w:color="auto" w:fill="auto"/>
            <w:noWrap/>
            <w:vAlign w:val="bottom"/>
            <w:hideMark/>
          </w:tcPr>
          <w:p w14:paraId="50857A8E" w14:textId="77777777" w:rsidR="009C2A2E" w:rsidRDefault="009C2A2E">
            <w:pPr>
              <w:rPr>
                <w:rFonts w:ascii="Calibri" w:hAnsi="Calibri" w:cs="Calibri"/>
                <w:b/>
                <w:bCs/>
                <w:sz w:val="22"/>
                <w:szCs w:val="22"/>
              </w:rPr>
            </w:pPr>
            <w:r>
              <w:rPr>
                <w:rFonts w:ascii="Calibri" w:hAnsi="Calibri" w:cs="Calibri"/>
                <w:b/>
                <w:bCs/>
                <w:sz w:val="22"/>
                <w:szCs w:val="22"/>
              </w:rPr>
              <w:t>% Deviation</w:t>
            </w:r>
          </w:p>
        </w:tc>
        <w:tc>
          <w:tcPr>
            <w:tcW w:w="1140" w:type="dxa"/>
            <w:tcBorders>
              <w:top w:val="nil"/>
              <w:left w:val="nil"/>
              <w:bottom w:val="nil"/>
              <w:right w:val="nil"/>
            </w:tcBorders>
            <w:shd w:val="clear" w:color="auto" w:fill="auto"/>
            <w:noWrap/>
            <w:vAlign w:val="bottom"/>
            <w:hideMark/>
          </w:tcPr>
          <w:p w14:paraId="2BBB7D3E" w14:textId="77777777" w:rsidR="009C2A2E" w:rsidRDefault="009C2A2E">
            <w:pPr>
              <w:rPr>
                <w:rFonts w:ascii="Calibri" w:hAnsi="Calibri" w:cs="Calibri"/>
                <w:b/>
                <w:bCs/>
                <w:sz w:val="22"/>
                <w:szCs w:val="22"/>
              </w:rPr>
            </w:pPr>
            <w:r>
              <w:rPr>
                <w:rFonts w:ascii="Calibri" w:hAnsi="Calibri" w:cs="Calibri"/>
                <w:b/>
                <w:bCs/>
                <w:sz w:val="22"/>
                <w:szCs w:val="22"/>
              </w:rPr>
              <w:t>Deviation</w:t>
            </w:r>
          </w:p>
        </w:tc>
        <w:tc>
          <w:tcPr>
            <w:tcW w:w="1620" w:type="dxa"/>
            <w:tcBorders>
              <w:top w:val="nil"/>
              <w:left w:val="nil"/>
              <w:bottom w:val="nil"/>
              <w:right w:val="nil"/>
            </w:tcBorders>
            <w:shd w:val="clear" w:color="auto" w:fill="auto"/>
            <w:noWrap/>
            <w:vAlign w:val="bottom"/>
            <w:hideMark/>
          </w:tcPr>
          <w:p w14:paraId="52C07D54" w14:textId="77777777" w:rsidR="009C2A2E" w:rsidRDefault="009C2A2E">
            <w:pPr>
              <w:rPr>
                <w:rFonts w:ascii="Calibri" w:hAnsi="Calibri" w:cs="Calibri"/>
                <w:b/>
                <w:bCs/>
                <w:sz w:val="22"/>
                <w:szCs w:val="22"/>
              </w:rPr>
            </w:pPr>
            <w:r>
              <w:rPr>
                <w:rFonts w:ascii="Calibri" w:hAnsi="Calibri" w:cs="Calibri"/>
                <w:b/>
                <w:bCs/>
                <w:sz w:val="22"/>
                <w:szCs w:val="22"/>
              </w:rPr>
              <w:t>% NH18+_Wht</w:t>
            </w:r>
          </w:p>
        </w:tc>
        <w:tc>
          <w:tcPr>
            <w:tcW w:w="1580" w:type="dxa"/>
            <w:tcBorders>
              <w:top w:val="nil"/>
              <w:left w:val="nil"/>
              <w:bottom w:val="nil"/>
              <w:right w:val="nil"/>
            </w:tcBorders>
            <w:shd w:val="clear" w:color="auto" w:fill="auto"/>
            <w:noWrap/>
            <w:vAlign w:val="bottom"/>
            <w:hideMark/>
          </w:tcPr>
          <w:p w14:paraId="3D94D622" w14:textId="77777777" w:rsidR="009C2A2E" w:rsidRDefault="009C2A2E">
            <w:pPr>
              <w:rPr>
                <w:rFonts w:ascii="Calibri" w:hAnsi="Calibri" w:cs="Calibri"/>
                <w:b/>
                <w:bCs/>
                <w:sz w:val="22"/>
                <w:szCs w:val="22"/>
              </w:rPr>
            </w:pPr>
            <w:r>
              <w:rPr>
                <w:rFonts w:ascii="Calibri" w:hAnsi="Calibri" w:cs="Calibri"/>
                <w:b/>
                <w:bCs/>
                <w:sz w:val="22"/>
                <w:szCs w:val="22"/>
              </w:rPr>
              <w:t>% 18+_AP_Blk</w:t>
            </w:r>
          </w:p>
        </w:tc>
        <w:tc>
          <w:tcPr>
            <w:tcW w:w="1020" w:type="dxa"/>
            <w:tcBorders>
              <w:top w:val="nil"/>
              <w:left w:val="nil"/>
              <w:bottom w:val="nil"/>
              <w:right w:val="nil"/>
            </w:tcBorders>
            <w:shd w:val="clear" w:color="auto" w:fill="auto"/>
            <w:noWrap/>
            <w:vAlign w:val="bottom"/>
            <w:hideMark/>
          </w:tcPr>
          <w:p w14:paraId="11E7AF4B" w14:textId="77777777" w:rsidR="009C2A2E" w:rsidRDefault="009C2A2E">
            <w:pPr>
              <w:rPr>
                <w:rFonts w:ascii="Calibri" w:hAnsi="Calibri" w:cs="Calibri"/>
                <w:b/>
                <w:bCs/>
                <w:sz w:val="22"/>
                <w:szCs w:val="22"/>
              </w:rPr>
            </w:pPr>
            <w:proofErr w:type="spellStart"/>
            <w:r>
              <w:rPr>
                <w:rFonts w:ascii="Calibri" w:hAnsi="Calibri" w:cs="Calibri"/>
                <w:b/>
                <w:bCs/>
                <w:sz w:val="22"/>
                <w:szCs w:val="22"/>
              </w:rPr>
              <w:t>Reock</w:t>
            </w:r>
            <w:proofErr w:type="spellEnd"/>
          </w:p>
        </w:tc>
      </w:tr>
      <w:tr w:rsidR="009C2A2E" w14:paraId="31B9AC84" w14:textId="77777777" w:rsidTr="009C2A2E">
        <w:trPr>
          <w:trHeight w:val="300"/>
        </w:trPr>
        <w:tc>
          <w:tcPr>
            <w:tcW w:w="1800" w:type="dxa"/>
            <w:tcBorders>
              <w:top w:val="nil"/>
              <w:left w:val="nil"/>
              <w:bottom w:val="nil"/>
              <w:right w:val="nil"/>
            </w:tcBorders>
            <w:shd w:val="clear" w:color="auto" w:fill="auto"/>
            <w:noWrap/>
            <w:vAlign w:val="bottom"/>
            <w:hideMark/>
          </w:tcPr>
          <w:p w14:paraId="301419A9" w14:textId="77777777" w:rsidR="009C2A2E" w:rsidRDefault="009C2A2E">
            <w:pPr>
              <w:jc w:val="right"/>
              <w:rPr>
                <w:rFonts w:ascii="Calibri" w:hAnsi="Calibri" w:cs="Calibri"/>
                <w:sz w:val="22"/>
                <w:szCs w:val="22"/>
              </w:rPr>
            </w:pPr>
            <w:r>
              <w:rPr>
                <w:rFonts w:ascii="Calibri" w:hAnsi="Calibri" w:cs="Calibri"/>
                <w:sz w:val="22"/>
                <w:szCs w:val="22"/>
              </w:rPr>
              <w:t>1</w:t>
            </w:r>
          </w:p>
        </w:tc>
        <w:tc>
          <w:tcPr>
            <w:tcW w:w="1380" w:type="dxa"/>
            <w:tcBorders>
              <w:top w:val="nil"/>
              <w:left w:val="nil"/>
              <w:bottom w:val="nil"/>
              <w:right w:val="nil"/>
            </w:tcBorders>
            <w:shd w:val="clear" w:color="auto" w:fill="auto"/>
            <w:noWrap/>
            <w:vAlign w:val="bottom"/>
            <w:hideMark/>
          </w:tcPr>
          <w:p w14:paraId="0E293221" w14:textId="77777777" w:rsidR="009C2A2E" w:rsidRDefault="009C2A2E">
            <w:pPr>
              <w:jc w:val="right"/>
              <w:rPr>
                <w:rFonts w:ascii="Calibri" w:hAnsi="Calibri" w:cs="Calibri"/>
                <w:sz w:val="22"/>
                <w:szCs w:val="22"/>
              </w:rPr>
            </w:pPr>
            <w:r>
              <w:rPr>
                <w:rFonts w:ascii="Calibri" w:hAnsi="Calibri" w:cs="Calibri"/>
                <w:sz w:val="22"/>
                <w:szCs w:val="22"/>
              </w:rPr>
              <w:t>0.000001</w:t>
            </w:r>
          </w:p>
        </w:tc>
        <w:tc>
          <w:tcPr>
            <w:tcW w:w="1140" w:type="dxa"/>
            <w:tcBorders>
              <w:top w:val="nil"/>
              <w:left w:val="nil"/>
              <w:bottom w:val="nil"/>
              <w:right w:val="nil"/>
            </w:tcBorders>
            <w:shd w:val="clear" w:color="auto" w:fill="auto"/>
            <w:noWrap/>
            <w:vAlign w:val="bottom"/>
            <w:hideMark/>
          </w:tcPr>
          <w:p w14:paraId="5D74D3A9" w14:textId="77777777" w:rsidR="009C2A2E" w:rsidRDefault="009C2A2E">
            <w:pPr>
              <w:jc w:val="right"/>
              <w:rPr>
                <w:rFonts w:ascii="Calibri" w:hAnsi="Calibri" w:cs="Calibri"/>
                <w:sz w:val="22"/>
                <w:szCs w:val="22"/>
              </w:rPr>
            </w:pPr>
            <w:r>
              <w:rPr>
                <w:rFonts w:ascii="Calibri" w:hAnsi="Calibri" w:cs="Calibri"/>
                <w:sz w:val="22"/>
                <w:szCs w:val="22"/>
              </w:rPr>
              <w:t>1</w:t>
            </w:r>
          </w:p>
        </w:tc>
        <w:tc>
          <w:tcPr>
            <w:tcW w:w="1620" w:type="dxa"/>
            <w:tcBorders>
              <w:top w:val="nil"/>
              <w:left w:val="nil"/>
              <w:bottom w:val="nil"/>
              <w:right w:val="nil"/>
            </w:tcBorders>
            <w:shd w:val="clear" w:color="auto" w:fill="auto"/>
            <w:noWrap/>
            <w:vAlign w:val="bottom"/>
            <w:hideMark/>
          </w:tcPr>
          <w:p w14:paraId="65E8D2A8" w14:textId="77777777" w:rsidR="009C2A2E" w:rsidRDefault="009C2A2E">
            <w:pPr>
              <w:jc w:val="right"/>
              <w:rPr>
                <w:rFonts w:ascii="Calibri" w:hAnsi="Calibri" w:cs="Calibri"/>
                <w:sz w:val="22"/>
                <w:szCs w:val="22"/>
              </w:rPr>
            </w:pPr>
            <w:r>
              <w:rPr>
                <w:rFonts w:ascii="Calibri" w:hAnsi="Calibri" w:cs="Calibri"/>
                <w:sz w:val="22"/>
                <w:szCs w:val="22"/>
              </w:rPr>
              <w:t>0.731145</w:t>
            </w:r>
          </w:p>
        </w:tc>
        <w:tc>
          <w:tcPr>
            <w:tcW w:w="1580" w:type="dxa"/>
            <w:tcBorders>
              <w:top w:val="nil"/>
              <w:left w:val="nil"/>
              <w:bottom w:val="nil"/>
              <w:right w:val="nil"/>
            </w:tcBorders>
            <w:shd w:val="clear" w:color="auto" w:fill="auto"/>
            <w:noWrap/>
            <w:vAlign w:val="bottom"/>
            <w:hideMark/>
          </w:tcPr>
          <w:p w14:paraId="2FE67630" w14:textId="77777777" w:rsidR="009C2A2E" w:rsidRDefault="009C2A2E">
            <w:pPr>
              <w:jc w:val="right"/>
              <w:rPr>
                <w:rFonts w:ascii="Calibri" w:hAnsi="Calibri" w:cs="Calibri"/>
                <w:sz w:val="22"/>
                <w:szCs w:val="22"/>
              </w:rPr>
            </w:pPr>
            <w:r>
              <w:rPr>
                <w:rFonts w:ascii="Calibri" w:hAnsi="Calibri" w:cs="Calibri"/>
                <w:sz w:val="22"/>
                <w:szCs w:val="22"/>
              </w:rPr>
              <w:t>0.162181</w:t>
            </w:r>
          </w:p>
        </w:tc>
        <w:tc>
          <w:tcPr>
            <w:tcW w:w="1020" w:type="dxa"/>
            <w:tcBorders>
              <w:top w:val="nil"/>
              <w:left w:val="nil"/>
              <w:bottom w:val="nil"/>
              <w:right w:val="nil"/>
            </w:tcBorders>
            <w:shd w:val="clear" w:color="auto" w:fill="auto"/>
            <w:noWrap/>
            <w:vAlign w:val="bottom"/>
            <w:hideMark/>
          </w:tcPr>
          <w:p w14:paraId="3750CC48" w14:textId="77777777" w:rsidR="009C2A2E" w:rsidRDefault="009C2A2E">
            <w:pPr>
              <w:jc w:val="right"/>
              <w:rPr>
                <w:rFonts w:ascii="Calibri" w:hAnsi="Calibri" w:cs="Calibri"/>
                <w:sz w:val="22"/>
                <w:szCs w:val="22"/>
              </w:rPr>
            </w:pPr>
            <w:r>
              <w:rPr>
                <w:rFonts w:ascii="Calibri" w:hAnsi="Calibri" w:cs="Calibri"/>
                <w:sz w:val="22"/>
                <w:szCs w:val="22"/>
              </w:rPr>
              <w:t>0.33637</w:t>
            </w:r>
          </w:p>
        </w:tc>
      </w:tr>
      <w:tr w:rsidR="009C2A2E" w14:paraId="5B00FE51" w14:textId="77777777" w:rsidTr="009C2A2E">
        <w:trPr>
          <w:trHeight w:val="300"/>
        </w:trPr>
        <w:tc>
          <w:tcPr>
            <w:tcW w:w="1800" w:type="dxa"/>
            <w:tcBorders>
              <w:top w:val="nil"/>
              <w:left w:val="nil"/>
              <w:bottom w:val="nil"/>
              <w:right w:val="nil"/>
            </w:tcBorders>
            <w:shd w:val="clear" w:color="auto" w:fill="auto"/>
            <w:noWrap/>
            <w:vAlign w:val="bottom"/>
            <w:hideMark/>
          </w:tcPr>
          <w:p w14:paraId="3B1C0CEF" w14:textId="77777777" w:rsidR="009C2A2E" w:rsidRDefault="009C2A2E">
            <w:pPr>
              <w:jc w:val="right"/>
              <w:rPr>
                <w:rFonts w:ascii="Calibri" w:hAnsi="Calibri" w:cs="Calibri"/>
                <w:sz w:val="22"/>
                <w:szCs w:val="22"/>
              </w:rPr>
            </w:pPr>
            <w:r>
              <w:rPr>
                <w:rFonts w:ascii="Calibri" w:hAnsi="Calibri" w:cs="Calibri"/>
                <w:sz w:val="22"/>
                <w:szCs w:val="22"/>
              </w:rPr>
              <w:t>2</w:t>
            </w:r>
          </w:p>
        </w:tc>
        <w:tc>
          <w:tcPr>
            <w:tcW w:w="1380" w:type="dxa"/>
            <w:tcBorders>
              <w:top w:val="nil"/>
              <w:left w:val="nil"/>
              <w:bottom w:val="nil"/>
              <w:right w:val="nil"/>
            </w:tcBorders>
            <w:shd w:val="clear" w:color="auto" w:fill="auto"/>
            <w:noWrap/>
            <w:vAlign w:val="bottom"/>
            <w:hideMark/>
          </w:tcPr>
          <w:p w14:paraId="3E290384" w14:textId="77777777" w:rsidR="009C2A2E" w:rsidRDefault="009C2A2E">
            <w:pPr>
              <w:jc w:val="right"/>
              <w:rPr>
                <w:rFonts w:ascii="Calibri" w:hAnsi="Calibri" w:cs="Calibri"/>
                <w:sz w:val="22"/>
                <w:szCs w:val="22"/>
              </w:rPr>
            </w:pPr>
            <w:r>
              <w:rPr>
                <w:rFonts w:ascii="Calibri" w:hAnsi="Calibri" w:cs="Calibri"/>
                <w:sz w:val="22"/>
                <w:szCs w:val="22"/>
              </w:rPr>
              <w:t>0.000001</w:t>
            </w:r>
          </w:p>
        </w:tc>
        <w:tc>
          <w:tcPr>
            <w:tcW w:w="1140" w:type="dxa"/>
            <w:tcBorders>
              <w:top w:val="nil"/>
              <w:left w:val="nil"/>
              <w:bottom w:val="nil"/>
              <w:right w:val="nil"/>
            </w:tcBorders>
            <w:shd w:val="clear" w:color="auto" w:fill="auto"/>
            <w:noWrap/>
            <w:vAlign w:val="bottom"/>
            <w:hideMark/>
          </w:tcPr>
          <w:p w14:paraId="4678BEDC" w14:textId="77777777" w:rsidR="009C2A2E" w:rsidRDefault="009C2A2E">
            <w:pPr>
              <w:jc w:val="right"/>
              <w:rPr>
                <w:rFonts w:ascii="Calibri" w:hAnsi="Calibri" w:cs="Calibri"/>
                <w:sz w:val="22"/>
                <w:szCs w:val="22"/>
              </w:rPr>
            </w:pPr>
            <w:r>
              <w:rPr>
                <w:rFonts w:ascii="Calibri" w:hAnsi="Calibri" w:cs="Calibri"/>
                <w:sz w:val="22"/>
                <w:szCs w:val="22"/>
              </w:rPr>
              <w:t>1</w:t>
            </w:r>
          </w:p>
        </w:tc>
        <w:tc>
          <w:tcPr>
            <w:tcW w:w="1620" w:type="dxa"/>
            <w:tcBorders>
              <w:top w:val="nil"/>
              <w:left w:val="nil"/>
              <w:bottom w:val="nil"/>
              <w:right w:val="nil"/>
            </w:tcBorders>
            <w:shd w:val="clear" w:color="auto" w:fill="auto"/>
            <w:noWrap/>
            <w:vAlign w:val="bottom"/>
            <w:hideMark/>
          </w:tcPr>
          <w:p w14:paraId="213EEAF2" w14:textId="77777777" w:rsidR="009C2A2E" w:rsidRDefault="009C2A2E">
            <w:pPr>
              <w:jc w:val="right"/>
              <w:rPr>
                <w:rFonts w:ascii="Calibri" w:hAnsi="Calibri" w:cs="Calibri"/>
                <w:sz w:val="22"/>
                <w:szCs w:val="22"/>
              </w:rPr>
            </w:pPr>
            <w:r>
              <w:rPr>
                <w:rFonts w:ascii="Calibri" w:hAnsi="Calibri" w:cs="Calibri"/>
                <w:sz w:val="22"/>
                <w:szCs w:val="22"/>
              </w:rPr>
              <w:t>0.609488</w:t>
            </w:r>
          </w:p>
        </w:tc>
        <w:tc>
          <w:tcPr>
            <w:tcW w:w="1580" w:type="dxa"/>
            <w:tcBorders>
              <w:top w:val="nil"/>
              <w:left w:val="nil"/>
              <w:bottom w:val="nil"/>
              <w:right w:val="nil"/>
            </w:tcBorders>
            <w:shd w:val="clear" w:color="auto" w:fill="auto"/>
            <w:noWrap/>
            <w:vAlign w:val="bottom"/>
            <w:hideMark/>
          </w:tcPr>
          <w:p w14:paraId="05C80468" w14:textId="77777777" w:rsidR="009C2A2E" w:rsidRDefault="009C2A2E">
            <w:pPr>
              <w:jc w:val="right"/>
              <w:rPr>
                <w:rFonts w:ascii="Calibri" w:hAnsi="Calibri" w:cs="Calibri"/>
                <w:sz w:val="22"/>
                <w:szCs w:val="22"/>
              </w:rPr>
            </w:pPr>
            <w:r>
              <w:rPr>
                <w:rFonts w:ascii="Calibri" w:hAnsi="Calibri" w:cs="Calibri"/>
                <w:sz w:val="22"/>
                <w:szCs w:val="22"/>
              </w:rPr>
              <w:t>0.241416</w:t>
            </w:r>
          </w:p>
        </w:tc>
        <w:tc>
          <w:tcPr>
            <w:tcW w:w="1020" w:type="dxa"/>
            <w:tcBorders>
              <w:top w:val="nil"/>
              <w:left w:val="nil"/>
              <w:bottom w:val="nil"/>
              <w:right w:val="nil"/>
            </w:tcBorders>
            <w:shd w:val="clear" w:color="auto" w:fill="auto"/>
            <w:noWrap/>
            <w:vAlign w:val="bottom"/>
            <w:hideMark/>
          </w:tcPr>
          <w:p w14:paraId="655DCFFD" w14:textId="77777777" w:rsidR="009C2A2E" w:rsidRDefault="009C2A2E">
            <w:pPr>
              <w:jc w:val="right"/>
              <w:rPr>
                <w:rFonts w:ascii="Calibri" w:hAnsi="Calibri" w:cs="Calibri"/>
                <w:sz w:val="22"/>
                <w:szCs w:val="22"/>
              </w:rPr>
            </w:pPr>
            <w:r>
              <w:rPr>
                <w:rFonts w:ascii="Calibri" w:hAnsi="Calibri" w:cs="Calibri"/>
                <w:sz w:val="22"/>
                <w:szCs w:val="22"/>
              </w:rPr>
              <w:t>0.2402</w:t>
            </w:r>
          </w:p>
        </w:tc>
      </w:tr>
      <w:tr w:rsidR="009C2A2E" w14:paraId="5A58E463" w14:textId="77777777" w:rsidTr="009C2A2E">
        <w:trPr>
          <w:trHeight w:val="300"/>
        </w:trPr>
        <w:tc>
          <w:tcPr>
            <w:tcW w:w="1800" w:type="dxa"/>
            <w:tcBorders>
              <w:top w:val="nil"/>
              <w:left w:val="nil"/>
              <w:bottom w:val="nil"/>
              <w:right w:val="nil"/>
            </w:tcBorders>
            <w:shd w:val="clear" w:color="auto" w:fill="auto"/>
            <w:noWrap/>
            <w:vAlign w:val="bottom"/>
            <w:hideMark/>
          </w:tcPr>
          <w:p w14:paraId="5029485C" w14:textId="77777777" w:rsidR="009C2A2E" w:rsidRDefault="009C2A2E">
            <w:pPr>
              <w:jc w:val="right"/>
              <w:rPr>
                <w:rFonts w:ascii="Calibri" w:hAnsi="Calibri" w:cs="Calibri"/>
                <w:sz w:val="22"/>
                <w:szCs w:val="22"/>
              </w:rPr>
            </w:pPr>
            <w:r>
              <w:rPr>
                <w:rFonts w:ascii="Calibri" w:hAnsi="Calibri" w:cs="Calibri"/>
                <w:sz w:val="22"/>
                <w:szCs w:val="22"/>
              </w:rPr>
              <w:t>3</w:t>
            </w:r>
          </w:p>
        </w:tc>
        <w:tc>
          <w:tcPr>
            <w:tcW w:w="1380" w:type="dxa"/>
            <w:tcBorders>
              <w:top w:val="nil"/>
              <w:left w:val="nil"/>
              <w:bottom w:val="nil"/>
              <w:right w:val="nil"/>
            </w:tcBorders>
            <w:shd w:val="clear" w:color="auto" w:fill="auto"/>
            <w:noWrap/>
            <w:vAlign w:val="bottom"/>
            <w:hideMark/>
          </w:tcPr>
          <w:p w14:paraId="5AC9D094" w14:textId="77777777" w:rsidR="009C2A2E" w:rsidRDefault="009C2A2E">
            <w:pPr>
              <w:jc w:val="right"/>
              <w:rPr>
                <w:rFonts w:ascii="Calibri" w:hAnsi="Calibri" w:cs="Calibri"/>
                <w:sz w:val="22"/>
                <w:szCs w:val="22"/>
              </w:rPr>
            </w:pPr>
            <w:r>
              <w:rPr>
                <w:rFonts w:ascii="Calibri" w:hAnsi="Calibri" w:cs="Calibri"/>
                <w:sz w:val="22"/>
                <w:szCs w:val="22"/>
              </w:rPr>
              <w:t>0</w:t>
            </w:r>
          </w:p>
        </w:tc>
        <w:tc>
          <w:tcPr>
            <w:tcW w:w="1140" w:type="dxa"/>
            <w:tcBorders>
              <w:top w:val="nil"/>
              <w:left w:val="nil"/>
              <w:bottom w:val="nil"/>
              <w:right w:val="nil"/>
            </w:tcBorders>
            <w:shd w:val="clear" w:color="auto" w:fill="auto"/>
            <w:noWrap/>
            <w:vAlign w:val="bottom"/>
            <w:hideMark/>
          </w:tcPr>
          <w:p w14:paraId="0B53B1D5" w14:textId="77777777" w:rsidR="009C2A2E" w:rsidRDefault="009C2A2E">
            <w:pPr>
              <w:jc w:val="right"/>
              <w:rPr>
                <w:rFonts w:ascii="Calibri" w:hAnsi="Calibri" w:cs="Calibri"/>
                <w:sz w:val="22"/>
                <w:szCs w:val="22"/>
              </w:rPr>
            </w:pPr>
            <w:r>
              <w:rPr>
                <w:rFonts w:ascii="Calibri" w:hAnsi="Calibri" w:cs="Calibri"/>
                <w:sz w:val="22"/>
                <w:szCs w:val="22"/>
              </w:rPr>
              <w:t>0</w:t>
            </w:r>
          </w:p>
        </w:tc>
        <w:tc>
          <w:tcPr>
            <w:tcW w:w="1620" w:type="dxa"/>
            <w:tcBorders>
              <w:top w:val="nil"/>
              <w:left w:val="nil"/>
              <w:bottom w:val="nil"/>
              <w:right w:val="nil"/>
            </w:tcBorders>
            <w:shd w:val="clear" w:color="auto" w:fill="auto"/>
            <w:noWrap/>
            <w:vAlign w:val="bottom"/>
            <w:hideMark/>
          </w:tcPr>
          <w:p w14:paraId="24D9F9B8" w14:textId="77777777" w:rsidR="009C2A2E" w:rsidRDefault="009C2A2E">
            <w:pPr>
              <w:jc w:val="right"/>
              <w:rPr>
                <w:rFonts w:ascii="Calibri" w:hAnsi="Calibri" w:cs="Calibri"/>
                <w:sz w:val="22"/>
                <w:szCs w:val="22"/>
              </w:rPr>
            </w:pPr>
            <w:r>
              <w:rPr>
                <w:rFonts w:ascii="Calibri" w:hAnsi="Calibri" w:cs="Calibri"/>
                <w:sz w:val="22"/>
                <w:szCs w:val="22"/>
              </w:rPr>
              <w:t>0.427914</w:t>
            </w:r>
          </w:p>
        </w:tc>
        <w:tc>
          <w:tcPr>
            <w:tcW w:w="1580" w:type="dxa"/>
            <w:tcBorders>
              <w:top w:val="nil"/>
              <w:left w:val="nil"/>
              <w:bottom w:val="nil"/>
              <w:right w:val="nil"/>
            </w:tcBorders>
            <w:shd w:val="clear" w:color="auto" w:fill="auto"/>
            <w:noWrap/>
            <w:vAlign w:val="bottom"/>
            <w:hideMark/>
          </w:tcPr>
          <w:p w14:paraId="594DCA4E" w14:textId="77777777" w:rsidR="009C2A2E" w:rsidRDefault="009C2A2E">
            <w:pPr>
              <w:jc w:val="right"/>
              <w:rPr>
                <w:rFonts w:ascii="Calibri" w:hAnsi="Calibri" w:cs="Calibri"/>
                <w:sz w:val="22"/>
                <w:szCs w:val="22"/>
              </w:rPr>
            </w:pPr>
            <w:r>
              <w:rPr>
                <w:rFonts w:ascii="Calibri" w:hAnsi="Calibri" w:cs="Calibri"/>
                <w:sz w:val="22"/>
                <w:szCs w:val="22"/>
              </w:rPr>
              <w:t>0.446575</w:t>
            </w:r>
          </w:p>
        </w:tc>
        <w:tc>
          <w:tcPr>
            <w:tcW w:w="1020" w:type="dxa"/>
            <w:tcBorders>
              <w:top w:val="nil"/>
              <w:left w:val="nil"/>
              <w:bottom w:val="nil"/>
              <w:right w:val="nil"/>
            </w:tcBorders>
            <w:shd w:val="clear" w:color="auto" w:fill="auto"/>
            <w:noWrap/>
            <w:vAlign w:val="bottom"/>
            <w:hideMark/>
          </w:tcPr>
          <w:p w14:paraId="1856F099" w14:textId="77777777" w:rsidR="009C2A2E" w:rsidRDefault="009C2A2E">
            <w:pPr>
              <w:jc w:val="right"/>
              <w:rPr>
                <w:rFonts w:ascii="Calibri" w:hAnsi="Calibri" w:cs="Calibri"/>
                <w:sz w:val="22"/>
                <w:szCs w:val="22"/>
              </w:rPr>
            </w:pPr>
            <w:r>
              <w:rPr>
                <w:rFonts w:ascii="Calibri" w:hAnsi="Calibri" w:cs="Calibri"/>
                <w:sz w:val="22"/>
                <w:szCs w:val="22"/>
              </w:rPr>
              <w:t>0.47878</w:t>
            </w:r>
          </w:p>
        </w:tc>
      </w:tr>
      <w:tr w:rsidR="009C2A2E" w14:paraId="40093ACC" w14:textId="77777777" w:rsidTr="009C2A2E">
        <w:trPr>
          <w:trHeight w:val="300"/>
        </w:trPr>
        <w:tc>
          <w:tcPr>
            <w:tcW w:w="1800" w:type="dxa"/>
            <w:tcBorders>
              <w:top w:val="nil"/>
              <w:left w:val="nil"/>
              <w:bottom w:val="nil"/>
              <w:right w:val="nil"/>
            </w:tcBorders>
            <w:shd w:val="clear" w:color="auto" w:fill="auto"/>
            <w:noWrap/>
            <w:vAlign w:val="bottom"/>
            <w:hideMark/>
          </w:tcPr>
          <w:p w14:paraId="1F3E9CC2" w14:textId="77777777" w:rsidR="009C2A2E" w:rsidRDefault="009C2A2E">
            <w:pPr>
              <w:jc w:val="right"/>
              <w:rPr>
                <w:rFonts w:ascii="Calibri" w:hAnsi="Calibri" w:cs="Calibri"/>
                <w:sz w:val="22"/>
                <w:szCs w:val="22"/>
              </w:rPr>
            </w:pPr>
            <w:r>
              <w:rPr>
                <w:rFonts w:ascii="Calibri" w:hAnsi="Calibri" w:cs="Calibri"/>
                <w:sz w:val="22"/>
                <w:szCs w:val="22"/>
              </w:rPr>
              <w:t>4</w:t>
            </w:r>
          </w:p>
        </w:tc>
        <w:tc>
          <w:tcPr>
            <w:tcW w:w="1380" w:type="dxa"/>
            <w:tcBorders>
              <w:top w:val="nil"/>
              <w:left w:val="nil"/>
              <w:bottom w:val="nil"/>
              <w:right w:val="nil"/>
            </w:tcBorders>
            <w:shd w:val="clear" w:color="auto" w:fill="auto"/>
            <w:noWrap/>
            <w:vAlign w:val="bottom"/>
            <w:hideMark/>
          </w:tcPr>
          <w:p w14:paraId="40107C71" w14:textId="77777777" w:rsidR="009C2A2E" w:rsidRDefault="009C2A2E">
            <w:pPr>
              <w:jc w:val="right"/>
              <w:rPr>
                <w:rFonts w:ascii="Calibri" w:hAnsi="Calibri" w:cs="Calibri"/>
                <w:sz w:val="22"/>
                <w:szCs w:val="22"/>
              </w:rPr>
            </w:pPr>
            <w:r>
              <w:rPr>
                <w:rFonts w:ascii="Calibri" w:hAnsi="Calibri" w:cs="Calibri"/>
                <w:sz w:val="22"/>
                <w:szCs w:val="22"/>
              </w:rPr>
              <w:t>0.000001</w:t>
            </w:r>
          </w:p>
        </w:tc>
        <w:tc>
          <w:tcPr>
            <w:tcW w:w="1140" w:type="dxa"/>
            <w:tcBorders>
              <w:top w:val="nil"/>
              <w:left w:val="nil"/>
              <w:bottom w:val="nil"/>
              <w:right w:val="nil"/>
            </w:tcBorders>
            <w:shd w:val="clear" w:color="auto" w:fill="auto"/>
            <w:noWrap/>
            <w:vAlign w:val="bottom"/>
            <w:hideMark/>
          </w:tcPr>
          <w:p w14:paraId="5382DD35" w14:textId="77777777" w:rsidR="009C2A2E" w:rsidRDefault="009C2A2E">
            <w:pPr>
              <w:jc w:val="right"/>
              <w:rPr>
                <w:rFonts w:ascii="Calibri" w:hAnsi="Calibri" w:cs="Calibri"/>
                <w:sz w:val="22"/>
                <w:szCs w:val="22"/>
              </w:rPr>
            </w:pPr>
            <w:r>
              <w:rPr>
                <w:rFonts w:ascii="Calibri" w:hAnsi="Calibri" w:cs="Calibri"/>
                <w:sz w:val="22"/>
                <w:szCs w:val="22"/>
              </w:rPr>
              <w:t>1</w:t>
            </w:r>
          </w:p>
        </w:tc>
        <w:tc>
          <w:tcPr>
            <w:tcW w:w="1620" w:type="dxa"/>
            <w:tcBorders>
              <w:top w:val="nil"/>
              <w:left w:val="nil"/>
              <w:bottom w:val="nil"/>
              <w:right w:val="nil"/>
            </w:tcBorders>
            <w:shd w:val="clear" w:color="auto" w:fill="auto"/>
            <w:noWrap/>
            <w:vAlign w:val="bottom"/>
            <w:hideMark/>
          </w:tcPr>
          <w:p w14:paraId="5E6D1225" w14:textId="77777777" w:rsidR="009C2A2E" w:rsidRDefault="009C2A2E">
            <w:pPr>
              <w:jc w:val="right"/>
              <w:rPr>
                <w:rFonts w:ascii="Calibri" w:hAnsi="Calibri" w:cs="Calibri"/>
                <w:sz w:val="22"/>
                <w:szCs w:val="22"/>
              </w:rPr>
            </w:pPr>
            <w:r>
              <w:rPr>
                <w:rFonts w:ascii="Calibri" w:hAnsi="Calibri" w:cs="Calibri"/>
                <w:sz w:val="22"/>
                <w:szCs w:val="22"/>
              </w:rPr>
              <w:t>0.559849</w:t>
            </w:r>
          </w:p>
        </w:tc>
        <w:tc>
          <w:tcPr>
            <w:tcW w:w="1580" w:type="dxa"/>
            <w:tcBorders>
              <w:top w:val="nil"/>
              <w:left w:val="nil"/>
              <w:bottom w:val="nil"/>
              <w:right w:val="nil"/>
            </w:tcBorders>
            <w:shd w:val="clear" w:color="auto" w:fill="auto"/>
            <w:noWrap/>
            <w:vAlign w:val="bottom"/>
            <w:hideMark/>
          </w:tcPr>
          <w:p w14:paraId="195DF1C1" w14:textId="77777777" w:rsidR="009C2A2E" w:rsidRDefault="009C2A2E">
            <w:pPr>
              <w:jc w:val="right"/>
              <w:rPr>
                <w:rFonts w:ascii="Calibri" w:hAnsi="Calibri" w:cs="Calibri"/>
                <w:sz w:val="22"/>
                <w:szCs w:val="22"/>
              </w:rPr>
            </w:pPr>
            <w:r>
              <w:rPr>
                <w:rFonts w:ascii="Calibri" w:hAnsi="Calibri" w:cs="Calibri"/>
                <w:sz w:val="22"/>
                <w:szCs w:val="22"/>
              </w:rPr>
              <w:t>0.335672</w:t>
            </w:r>
          </w:p>
        </w:tc>
        <w:tc>
          <w:tcPr>
            <w:tcW w:w="1020" w:type="dxa"/>
            <w:tcBorders>
              <w:top w:val="nil"/>
              <w:left w:val="nil"/>
              <w:bottom w:val="nil"/>
              <w:right w:val="nil"/>
            </w:tcBorders>
            <w:shd w:val="clear" w:color="auto" w:fill="auto"/>
            <w:noWrap/>
            <w:vAlign w:val="bottom"/>
            <w:hideMark/>
          </w:tcPr>
          <w:p w14:paraId="44104A8F" w14:textId="77777777" w:rsidR="009C2A2E" w:rsidRDefault="009C2A2E">
            <w:pPr>
              <w:jc w:val="right"/>
              <w:rPr>
                <w:rFonts w:ascii="Calibri" w:hAnsi="Calibri" w:cs="Calibri"/>
                <w:sz w:val="22"/>
                <w:szCs w:val="22"/>
              </w:rPr>
            </w:pPr>
            <w:r>
              <w:rPr>
                <w:rFonts w:ascii="Calibri" w:hAnsi="Calibri" w:cs="Calibri"/>
                <w:sz w:val="22"/>
                <w:szCs w:val="22"/>
              </w:rPr>
              <w:t>0.35728</w:t>
            </w:r>
          </w:p>
        </w:tc>
      </w:tr>
      <w:tr w:rsidR="009C2A2E" w14:paraId="3C7C4685" w14:textId="77777777" w:rsidTr="009C2A2E">
        <w:trPr>
          <w:trHeight w:val="300"/>
        </w:trPr>
        <w:tc>
          <w:tcPr>
            <w:tcW w:w="1800" w:type="dxa"/>
            <w:tcBorders>
              <w:top w:val="nil"/>
              <w:left w:val="nil"/>
              <w:bottom w:val="nil"/>
              <w:right w:val="nil"/>
            </w:tcBorders>
            <w:shd w:val="clear" w:color="auto" w:fill="auto"/>
            <w:noWrap/>
            <w:vAlign w:val="bottom"/>
            <w:hideMark/>
          </w:tcPr>
          <w:p w14:paraId="3D217EB3" w14:textId="77777777" w:rsidR="009C2A2E" w:rsidRDefault="009C2A2E">
            <w:pPr>
              <w:jc w:val="right"/>
              <w:rPr>
                <w:rFonts w:ascii="Calibri" w:hAnsi="Calibri" w:cs="Calibri"/>
                <w:sz w:val="22"/>
                <w:szCs w:val="22"/>
              </w:rPr>
            </w:pPr>
            <w:r>
              <w:rPr>
                <w:rFonts w:ascii="Calibri" w:hAnsi="Calibri" w:cs="Calibri"/>
                <w:sz w:val="22"/>
                <w:szCs w:val="22"/>
              </w:rPr>
              <w:t>5</w:t>
            </w:r>
          </w:p>
        </w:tc>
        <w:tc>
          <w:tcPr>
            <w:tcW w:w="1380" w:type="dxa"/>
            <w:tcBorders>
              <w:top w:val="nil"/>
              <w:left w:val="nil"/>
              <w:bottom w:val="nil"/>
              <w:right w:val="nil"/>
            </w:tcBorders>
            <w:shd w:val="clear" w:color="auto" w:fill="auto"/>
            <w:noWrap/>
            <w:vAlign w:val="bottom"/>
            <w:hideMark/>
          </w:tcPr>
          <w:p w14:paraId="490663A8" w14:textId="77777777" w:rsidR="009C2A2E" w:rsidRDefault="009C2A2E">
            <w:pPr>
              <w:jc w:val="right"/>
              <w:rPr>
                <w:rFonts w:ascii="Calibri" w:hAnsi="Calibri" w:cs="Calibri"/>
                <w:sz w:val="22"/>
                <w:szCs w:val="22"/>
              </w:rPr>
            </w:pPr>
            <w:r>
              <w:rPr>
                <w:rFonts w:ascii="Calibri" w:hAnsi="Calibri" w:cs="Calibri"/>
                <w:sz w:val="22"/>
                <w:szCs w:val="22"/>
              </w:rPr>
              <w:t>-0.000001</w:t>
            </w:r>
          </w:p>
        </w:tc>
        <w:tc>
          <w:tcPr>
            <w:tcW w:w="1140" w:type="dxa"/>
            <w:tcBorders>
              <w:top w:val="nil"/>
              <w:left w:val="nil"/>
              <w:bottom w:val="nil"/>
              <w:right w:val="nil"/>
            </w:tcBorders>
            <w:shd w:val="clear" w:color="auto" w:fill="auto"/>
            <w:noWrap/>
            <w:vAlign w:val="bottom"/>
            <w:hideMark/>
          </w:tcPr>
          <w:p w14:paraId="1529FA94" w14:textId="77777777" w:rsidR="009C2A2E" w:rsidRDefault="009C2A2E">
            <w:pPr>
              <w:jc w:val="right"/>
              <w:rPr>
                <w:rFonts w:ascii="Calibri" w:hAnsi="Calibri" w:cs="Calibri"/>
                <w:sz w:val="22"/>
                <w:szCs w:val="22"/>
              </w:rPr>
            </w:pPr>
            <w:r>
              <w:rPr>
                <w:rFonts w:ascii="Calibri" w:hAnsi="Calibri" w:cs="Calibri"/>
                <w:sz w:val="22"/>
                <w:szCs w:val="22"/>
              </w:rPr>
              <w:t>-1</w:t>
            </w:r>
          </w:p>
        </w:tc>
        <w:tc>
          <w:tcPr>
            <w:tcW w:w="1620" w:type="dxa"/>
            <w:tcBorders>
              <w:top w:val="nil"/>
              <w:left w:val="nil"/>
              <w:bottom w:val="nil"/>
              <w:right w:val="nil"/>
            </w:tcBorders>
            <w:shd w:val="clear" w:color="auto" w:fill="auto"/>
            <w:noWrap/>
            <w:vAlign w:val="bottom"/>
            <w:hideMark/>
          </w:tcPr>
          <w:p w14:paraId="067EAB61" w14:textId="77777777" w:rsidR="009C2A2E" w:rsidRDefault="009C2A2E">
            <w:pPr>
              <w:jc w:val="right"/>
              <w:rPr>
                <w:rFonts w:ascii="Calibri" w:hAnsi="Calibri" w:cs="Calibri"/>
                <w:sz w:val="22"/>
                <w:szCs w:val="22"/>
              </w:rPr>
            </w:pPr>
            <w:r>
              <w:rPr>
                <w:rFonts w:ascii="Calibri" w:hAnsi="Calibri" w:cs="Calibri"/>
                <w:sz w:val="22"/>
                <w:szCs w:val="22"/>
              </w:rPr>
              <w:t>0.559721</w:t>
            </w:r>
          </w:p>
        </w:tc>
        <w:tc>
          <w:tcPr>
            <w:tcW w:w="1580" w:type="dxa"/>
            <w:tcBorders>
              <w:top w:val="nil"/>
              <w:left w:val="nil"/>
              <w:bottom w:val="nil"/>
              <w:right w:val="nil"/>
            </w:tcBorders>
            <w:shd w:val="clear" w:color="auto" w:fill="auto"/>
            <w:noWrap/>
            <w:vAlign w:val="bottom"/>
            <w:hideMark/>
          </w:tcPr>
          <w:p w14:paraId="448150C6" w14:textId="77777777" w:rsidR="009C2A2E" w:rsidRDefault="009C2A2E">
            <w:pPr>
              <w:jc w:val="right"/>
              <w:rPr>
                <w:rFonts w:ascii="Calibri" w:hAnsi="Calibri" w:cs="Calibri"/>
                <w:sz w:val="22"/>
                <w:szCs w:val="22"/>
              </w:rPr>
            </w:pPr>
            <w:r>
              <w:rPr>
                <w:rFonts w:ascii="Calibri" w:hAnsi="Calibri" w:cs="Calibri"/>
                <w:sz w:val="22"/>
                <w:szCs w:val="22"/>
              </w:rPr>
              <w:t>0.291381</w:t>
            </w:r>
          </w:p>
        </w:tc>
        <w:tc>
          <w:tcPr>
            <w:tcW w:w="1020" w:type="dxa"/>
            <w:tcBorders>
              <w:top w:val="nil"/>
              <w:left w:val="nil"/>
              <w:bottom w:val="nil"/>
              <w:right w:val="nil"/>
            </w:tcBorders>
            <w:shd w:val="clear" w:color="auto" w:fill="auto"/>
            <w:noWrap/>
            <w:vAlign w:val="bottom"/>
            <w:hideMark/>
          </w:tcPr>
          <w:p w14:paraId="3004A009" w14:textId="77777777" w:rsidR="009C2A2E" w:rsidRDefault="009C2A2E">
            <w:pPr>
              <w:jc w:val="right"/>
              <w:rPr>
                <w:rFonts w:ascii="Calibri" w:hAnsi="Calibri" w:cs="Calibri"/>
                <w:sz w:val="22"/>
                <w:szCs w:val="22"/>
              </w:rPr>
            </w:pPr>
            <w:r>
              <w:rPr>
                <w:rFonts w:ascii="Calibri" w:hAnsi="Calibri" w:cs="Calibri"/>
                <w:sz w:val="22"/>
                <w:szCs w:val="22"/>
              </w:rPr>
              <w:t>0.35927</w:t>
            </w:r>
          </w:p>
        </w:tc>
      </w:tr>
      <w:tr w:rsidR="009C2A2E" w14:paraId="757F279E" w14:textId="77777777" w:rsidTr="009C2A2E">
        <w:trPr>
          <w:trHeight w:val="300"/>
        </w:trPr>
        <w:tc>
          <w:tcPr>
            <w:tcW w:w="1800" w:type="dxa"/>
            <w:tcBorders>
              <w:top w:val="nil"/>
              <w:left w:val="nil"/>
              <w:bottom w:val="nil"/>
              <w:right w:val="nil"/>
            </w:tcBorders>
            <w:shd w:val="clear" w:color="auto" w:fill="auto"/>
            <w:noWrap/>
            <w:vAlign w:val="bottom"/>
            <w:hideMark/>
          </w:tcPr>
          <w:p w14:paraId="06AA4093" w14:textId="77777777" w:rsidR="009C2A2E" w:rsidRDefault="009C2A2E">
            <w:pPr>
              <w:jc w:val="right"/>
              <w:rPr>
                <w:rFonts w:ascii="Calibri" w:hAnsi="Calibri" w:cs="Calibri"/>
                <w:sz w:val="22"/>
                <w:szCs w:val="22"/>
              </w:rPr>
            </w:pPr>
            <w:r>
              <w:rPr>
                <w:rFonts w:ascii="Calibri" w:hAnsi="Calibri" w:cs="Calibri"/>
                <w:sz w:val="22"/>
                <w:szCs w:val="22"/>
              </w:rPr>
              <w:t>6</w:t>
            </w:r>
          </w:p>
        </w:tc>
        <w:tc>
          <w:tcPr>
            <w:tcW w:w="1380" w:type="dxa"/>
            <w:tcBorders>
              <w:top w:val="nil"/>
              <w:left w:val="nil"/>
              <w:bottom w:val="nil"/>
              <w:right w:val="nil"/>
            </w:tcBorders>
            <w:shd w:val="clear" w:color="auto" w:fill="auto"/>
            <w:noWrap/>
            <w:vAlign w:val="bottom"/>
            <w:hideMark/>
          </w:tcPr>
          <w:p w14:paraId="4C7BFC3A" w14:textId="77777777" w:rsidR="009C2A2E" w:rsidRDefault="009C2A2E">
            <w:pPr>
              <w:jc w:val="right"/>
              <w:rPr>
                <w:rFonts w:ascii="Calibri" w:hAnsi="Calibri" w:cs="Calibri"/>
                <w:sz w:val="22"/>
                <w:szCs w:val="22"/>
              </w:rPr>
            </w:pPr>
            <w:r>
              <w:rPr>
                <w:rFonts w:ascii="Calibri" w:hAnsi="Calibri" w:cs="Calibri"/>
                <w:sz w:val="22"/>
                <w:szCs w:val="22"/>
              </w:rPr>
              <w:t>-0.000001</w:t>
            </w:r>
          </w:p>
        </w:tc>
        <w:tc>
          <w:tcPr>
            <w:tcW w:w="1140" w:type="dxa"/>
            <w:tcBorders>
              <w:top w:val="nil"/>
              <w:left w:val="nil"/>
              <w:bottom w:val="nil"/>
              <w:right w:val="nil"/>
            </w:tcBorders>
            <w:shd w:val="clear" w:color="auto" w:fill="auto"/>
            <w:noWrap/>
            <w:vAlign w:val="bottom"/>
            <w:hideMark/>
          </w:tcPr>
          <w:p w14:paraId="4B881915" w14:textId="77777777" w:rsidR="009C2A2E" w:rsidRDefault="009C2A2E">
            <w:pPr>
              <w:jc w:val="right"/>
              <w:rPr>
                <w:rFonts w:ascii="Calibri" w:hAnsi="Calibri" w:cs="Calibri"/>
                <w:sz w:val="22"/>
                <w:szCs w:val="22"/>
              </w:rPr>
            </w:pPr>
            <w:r>
              <w:rPr>
                <w:rFonts w:ascii="Calibri" w:hAnsi="Calibri" w:cs="Calibri"/>
                <w:sz w:val="22"/>
                <w:szCs w:val="22"/>
              </w:rPr>
              <w:t>-1</w:t>
            </w:r>
          </w:p>
        </w:tc>
        <w:tc>
          <w:tcPr>
            <w:tcW w:w="1620" w:type="dxa"/>
            <w:tcBorders>
              <w:top w:val="nil"/>
              <w:left w:val="nil"/>
              <w:bottom w:val="nil"/>
              <w:right w:val="nil"/>
            </w:tcBorders>
            <w:shd w:val="clear" w:color="auto" w:fill="auto"/>
            <w:noWrap/>
            <w:vAlign w:val="bottom"/>
            <w:hideMark/>
          </w:tcPr>
          <w:p w14:paraId="3F371691" w14:textId="77777777" w:rsidR="009C2A2E" w:rsidRDefault="009C2A2E">
            <w:pPr>
              <w:jc w:val="right"/>
              <w:rPr>
                <w:rFonts w:ascii="Calibri" w:hAnsi="Calibri" w:cs="Calibri"/>
                <w:sz w:val="22"/>
                <w:szCs w:val="22"/>
              </w:rPr>
            </w:pPr>
            <w:r>
              <w:rPr>
                <w:rFonts w:ascii="Calibri" w:hAnsi="Calibri" w:cs="Calibri"/>
                <w:sz w:val="22"/>
                <w:szCs w:val="22"/>
              </w:rPr>
              <w:t>0.78997</w:t>
            </w:r>
          </w:p>
        </w:tc>
        <w:tc>
          <w:tcPr>
            <w:tcW w:w="1580" w:type="dxa"/>
            <w:tcBorders>
              <w:top w:val="nil"/>
              <w:left w:val="nil"/>
              <w:bottom w:val="nil"/>
              <w:right w:val="nil"/>
            </w:tcBorders>
            <w:shd w:val="clear" w:color="auto" w:fill="auto"/>
            <w:noWrap/>
            <w:vAlign w:val="bottom"/>
            <w:hideMark/>
          </w:tcPr>
          <w:p w14:paraId="3F698DA5" w14:textId="77777777" w:rsidR="009C2A2E" w:rsidRDefault="009C2A2E">
            <w:pPr>
              <w:jc w:val="right"/>
              <w:rPr>
                <w:rFonts w:ascii="Calibri" w:hAnsi="Calibri" w:cs="Calibri"/>
                <w:sz w:val="22"/>
                <w:szCs w:val="22"/>
              </w:rPr>
            </w:pPr>
            <w:r>
              <w:rPr>
                <w:rFonts w:ascii="Calibri" w:hAnsi="Calibri" w:cs="Calibri"/>
                <w:sz w:val="22"/>
                <w:szCs w:val="22"/>
              </w:rPr>
              <w:t>0.129557</w:t>
            </w:r>
          </w:p>
        </w:tc>
        <w:tc>
          <w:tcPr>
            <w:tcW w:w="1020" w:type="dxa"/>
            <w:tcBorders>
              <w:top w:val="nil"/>
              <w:left w:val="nil"/>
              <w:bottom w:val="nil"/>
              <w:right w:val="nil"/>
            </w:tcBorders>
            <w:shd w:val="clear" w:color="auto" w:fill="auto"/>
            <w:noWrap/>
            <w:vAlign w:val="bottom"/>
            <w:hideMark/>
          </w:tcPr>
          <w:p w14:paraId="4F6BCC08" w14:textId="77777777" w:rsidR="009C2A2E" w:rsidRDefault="009C2A2E">
            <w:pPr>
              <w:jc w:val="right"/>
              <w:rPr>
                <w:rFonts w:ascii="Calibri" w:hAnsi="Calibri" w:cs="Calibri"/>
                <w:sz w:val="22"/>
                <w:szCs w:val="22"/>
              </w:rPr>
            </w:pPr>
            <w:r>
              <w:rPr>
                <w:rFonts w:ascii="Calibri" w:hAnsi="Calibri" w:cs="Calibri"/>
                <w:sz w:val="22"/>
                <w:szCs w:val="22"/>
              </w:rPr>
              <w:t>0.32034</w:t>
            </w:r>
          </w:p>
        </w:tc>
      </w:tr>
      <w:tr w:rsidR="009C2A2E" w14:paraId="13EC9736" w14:textId="77777777" w:rsidTr="009C2A2E">
        <w:trPr>
          <w:trHeight w:val="300"/>
        </w:trPr>
        <w:tc>
          <w:tcPr>
            <w:tcW w:w="1800" w:type="dxa"/>
            <w:tcBorders>
              <w:top w:val="nil"/>
              <w:left w:val="nil"/>
              <w:bottom w:val="nil"/>
              <w:right w:val="nil"/>
            </w:tcBorders>
            <w:shd w:val="clear" w:color="auto" w:fill="auto"/>
            <w:noWrap/>
            <w:vAlign w:val="bottom"/>
            <w:hideMark/>
          </w:tcPr>
          <w:p w14:paraId="2A1FDB00" w14:textId="77777777" w:rsidR="009C2A2E" w:rsidRDefault="009C2A2E">
            <w:pPr>
              <w:jc w:val="right"/>
              <w:rPr>
                <w:rFonts w:ascii="Calibri" w:hAnsi="Calibri" w:cs="Calibri"/>
                <w:sz w:val="22"/>
                <w:szCs w:val="22"/>
              </w:rPr>
            </w:pPr>
            <w:r>
              <w:rPr>
                <w:rFonts w:ascii="Calibri" w:hAnsi="Calibri" w:cs="Calibri"/>
                <w:sz w:val="22"/>
                <w:szCs w:val="22"/>
              </w:rPr>
              <w:t>7</w:t>
            </w:r>
          </w:p>
        </w:tc>
        <w:tc>
          <w:tcPr>
            <w:tcW w:w="1380" w:type="dxa"/>
            <w:tcBorders>
              <w:top w:val="nil"/>
              <w:left w:val="nil"/>
              <w:bottom w:val="nil"/>
              <w:right w:val="nil"/>
            </w:tcBorders>
            <w:shd w:val="clear" w:color="auto" w:fill="auto"/>
            <w:noWrap/>
            <w:vAlign w:val="bottom"/>
            <w:hideMark/>
          </w:tcPr>
          <w:p w14:paraId="2321598E" w14:textId="77777777" w:rsidR="009C2A2E" w:rsidRDefault="009C2A2E">
            <w:pPr>
              <w:jc w:val="right"/>
              <w:rPr>
                <w:rFonts w:ascii="Calibri" w:hAnsi="Calibri" w:cs="Calibri"/>
                <w:sz w:val="22"/>
                <w:szCs w:val="22"/>
              </w:rPr>
            </w:pPr>
            <w:r>
              <w:rPr>
                <w:rFonts w:ascii="Calibri" w:hAnsi="Calibri" w:cs="Calibri"/>
                <w:sz w:val="22"/>
                <w:szCs w:val="22"/>
              </w:rPr>
              <w:t>0</w:t>
            </w:r>
          </w:p>
        </w:tc>
        <w:tc>
          <w:tcPr>
            <w:tcW w:w="1140" w:type="dxa"/>
            <w:tcBorders>
              <w:top w:val="nil"/>
              <w:left w:val="nil"/>
              <w:bottom w:val="nil"/>
              <w:right w:val="nil"/>
            </w:tcBorders>
            <w:shd w:val="clear" w:color="auto" w:fill="auto"/>
            <w:noWrap/>
            <w:vAlign w:val="bottom"/>
            <w:hideMark/>
          </w:tcPr>
          <w:p w14:paraId="51756C29" w14:textId="77777777" w:rsidR="009C2A2E" w:rsidRDefault="009C2A2E">
            <w:pPr>
              <w:jc w:val="right"/>
              <w:rPr>
                <w:rFonts w:ascii="Calibri" w:hAnsi="Calibri" w:cs="Calibri"/>
                <w:sz w:val="22"/>
                <w:szCs w:val="22"/>
              </w:rPr>
            </w:pPr>
            <w:r>
              <w:rPr>
                <w:rFonts w:ascii="Calibri" w:hAnsi="Calibri" w:cs="Calibri"/>
                <w:sz w:val="22"/>
                <w:szCs w:val="22"/>
              </w:rPr>
              <w:t>0</w:t>
            </w:r>
          </w:p>
        </w:tc>
        <w:tc>
          <w:tcPr>
            <w:tcW w:w="1620" w:type="dxa"/>
            <w:tcBorders>
              <w:top w:val="nil"/>
              <w:left w:val="nil"/>
              <w:bottom w:val="nil"/>
              <w:right w:val="nil"/>
            </w:tcBorders>
            <w:shd w:val="clear" w:color="auto" w:fill="auto"/>
            <w:noWrap/>
            <w:vAlign w:val="bottom"/>
            <w:hideMark/>
          </w:tcPr>
          <w:p w14:paraId="20C336FD" w14:textId="77777777" w:rsidR="009C2A2E" w:rsidRDefault="009C2A2E">
            <w:pPr>
              <w:jc w:val="right"/>
              <w:rPr>
                <w:rFonts w:ascii="Calibri" w:hAnsi="Calibri" w:cs="Calibri"/>
                <w:sz w:val="22"/>
                <w:szCs w:val="22"/>
              </w:rPr>
            </w:pPr>
            <w:r>
              <w:rPr>
                <w:rFonts w:ascii="Calibri" w:hAnsi="Calibri" w:cs="Calibri"/>
                <w:sz w:val="22"/>
                <w:szCs w:val="22"/>
              </w:rPr>
              <w:t>0.473268</w:t>
            </w:r>
          </w:p>
        </w:tc>
        <w:tc>
          <w:tcPr>
            <w:tcW w:w="1580" w:type="dxa"/>
            <w:tcBorders>
              <w:top w:val="nil"/>
              <w:left w:val="nil"/>
              <w:bottom w:val="nil"/>
              <w:right w:val="nil"/>
            </w:tcBorders>
            <w:shd w:val="clear" w:color="auto" w:fill="auto"/>
            <w:noWrap/>
            <w:vAlign w:val="bottom"/>
            <w:hideMark/>
          </w:tcPr>
          <w:p w14:paraId="7C21566F" w14:textId="77777777" w:rsidR="009C2A2E" w:rsidRDefault="009C2A2E">
            <w:pPr>
              <w:jc w:val="right"/>
              <w:rPr>
                <w:rFonts w:ascii="Calibri" w:hAnsi="Calibri" w:cs="Calibri"/>
                <w:sz w:val="22"/>
                <w:szCs w:val="22"/>
              </w:rPr>
            </w:pPr>
            <w:r>
              <w:rPr>
                <w:rFonts w:ascii="Calibri" w:hAnsi="Calibri" w:cs="Calibri"/>
                <w:sz w:val="22"/>
                <w:szCs w:val="22"/>
              </w:rPr>
              <w:t>0.205727</w:t>
            </w:r>
          </w:p>
        </w:tc>
        <w:tc>
          <w:tcPr>
            <w:tcW w:w="1020" w:type="dxa"/>
            <w:tcBorders>
              <w:top w:val="nil"/>
              <w:left w:val="nil"/>
              <w:bottom w:val="nil"/>
              <w:right w:val="nil"/>
            </w:tcBorders>
            <w:shd w:val="clear" w:color="auto" w:fill="auto"/>
            <w:noWrap/>
            <w:vAlign w:val="bottom"/>
            <w:hideMark/>
          </w:tcPr>
          <w:p w14:paraId="25FDC7F4" w14:textId="77777777" w:rsidR="009C2A2E" w:rsidRDefault="009C2A2E">
            <w:pPr>
              <w:jc w:val="right"/>
              <w:rPr>
                <w:rFonts w:ascii="Calibri" w:hAnsi="Calibri" w:cs="Calibri"/>
                <w:sz w:val="22"/>
                <w:szCs w:val="22"/>
              </w:rPr>
            </w:pPr>
            <w:r>
              <w:rPr>
                <w:rFonts w:ascii="Calibri" w:hAnsi="Calibri" w:cs="Calibri"/>
                <w:sz w:val="22"/>
                <w:szCs w:val="22"/>
              </w:rPr>
              <w:t>0.57088</w:t>
            </w:r>
          </w:p>
        </w:tc>
      </w:tr>
      <w:tr w:rsidR="009C2A2E" w14:paraId="4930F45D" w14:textId="77777777" w:rsidTr="009C2A2E">
        <w:trPr>
          <w:trHeight w:val="300"/>
        </w:trPr>
        <w:tc>
          <w:tcPr>
            <w:tcW w:w="1800" w:type="dxa"/>
            <w:tcBorders>
              <w:top w:val="nil"/>
              <w:left w:val="nil"/>
              <w:bottom w:val="nil"/>
              <w:right w:val="nil"/>
            </w:tcBorders>
            <w:shd w:val="clear" w:color="auto" w:fill="auto"/>
            <w:noWrap/>
            <w:vAlign w:val="bottom"/>
            <w:hideMark/>
          </w:tcPr>
          <w:p w14:paraId="7671B59A" w14:textId="77777777" w:rsidR="009C2A2E" w:rsidRDefault="009C2A2E">
            <w:pPr>
              <w:jc w:val="right"/>
              <w:rPr>
                <w:rFonts w:ascii="Calibri" w:hAnsi="Calibri" w:cs="Calibri"/>
                <w:sz w:val="22"/>
                <w:szCs w:val="22"/>
              </w:rPr>
            </w:pPr>
            <w:r>
              <w:rPr>
                <w:rFonts w:ascii="Calibri" w:hAnsi="Calibri" w:cs="Calibri"/>
                <w:sz w:val="22"/>
                <w:szCs w:val="22"/>
              </w:rPr>
              <w:t>8</w:t>
            </w:r>
          </w:p>
        </w:tc>
        <w:tc>
          <w:tcPr>
            <w:tcW w:w="1380" w:type="dxa"/>
            <w:tcBorders>
              <w:top w:val="nil"/>
              <w:left w:val="nil"/>
              <w:bottom w:val="nil"/>
              <w:right w:val="nil"/>
            </w:tcBorders>
            <w:shd w:val="clear" w:color="auto" w:fill="auto"/>
            <w:noWrap/>
            <w:vAlign w:val="bottom"/>
            <w:hideMark/>
          </w:tcPr>
          <w:p w14:paraId="0350BDA0" w14:textId="77777777" w:rsidR="009C2A2E" w:rsidRDefault="009C2A2E">
            <w:pPr>
              <w:jc w:val="right"/>
              <w:rPr>
                <w:rFonts w:ascii="Calibri" w:hAnsi="Calibri" w:cs="Calibri"/>
                <w:sz w:val="22"/>
                <w:szCs w:val="22"/>
              </w:rPr>
            </w:pPr>
            <w:r>
              <w:rPr>
                <w:rFonts w:ascii="Calibri" w:hAnsi="Calibri" w:cs="Calibri"/>
                <w:sz w:val="22"/>
                <w:szCs w:val="22"/>
              </w:rPr>
              <w:t>0</w:t>
            </w:r>
          </w:p>
        </w:tc>
        <w:tc>
          <w:tcPr>
            <w:tcW w:w="1140" w:type="dxa"/>
            <w:tcBorders>
              <w:top w:val="nil"/>
              <w:left w:val="nil"/>
              <w:bottom w:val="nil"/>
              <w:right w:val="nil"/>
            </w:tcBorders>
            <w:shd w:val="clear" w:color="auto" w:fill="auto"/>
            <w:noWrap/>
            <w:vAlign w:val="bottom"/>
            <w:hideMark/>
          </w:tcPr>
          <w:p w14:paraId="4B874D29" w14:textId="77777777" w:rsidR="009C2A2E" w:rsidRDefault="009C2A2E">
            <w:pPr>
              <w:jc w:val="right"/>
              <w:rPr>
                <w:rFonts w:ascii="Calibri" w:hAnsi="Calibri" w:cs="Calibri"/>
                <w:sz w:val="22"/>
                <w:szCs w:val="22"/>
              </w:rPr>
            </w:pPr>
            <w:r>
              <w:rPr>
                <w:rFonts w:ascii="Calibri" w:hAnsi="Calibri" w:cs="Calibri"/>
                <w:sz w:val="22"/>
                <w:szCs w:val="22"/>
              </w:rPr>
              <w:t>0</w:t>
            </w:r>
          </w:p>
        </w:tc>
        <w:tc>
          <w:tcPr>
            <w:tcW w:w="1620" w:type="dxa"/>
            <w:tcBorders>
              <w:top w:val="nil"/>
              <w:left w:val="nil"/>
              <w:bottom w:val="nil"/>
              <w:right w:val="nil"/>
            </w:tcBorders>
            <w:shd w:val="clear" w:color="auto" w:fill="auto"/>
            <w:noWrap/>
            <w:vAlign w:val="bottom"/>
            <w:hideMark/>
          </w:tcPr>
          <w:p w14:paraId="20A7F3EB" w14:textId="77777777" w:rsidR="009C2A2E" w:rsidRDefault="009C2A2E">
            <w:pPr>
              <w:jc w:val="right"/>
              <w:rPr>
                <w:rFonts w:ascii="Calibri" w:hAnsi="Calibri" w:cs="Calibri"/>
                <w:sz w:val="22"/>
                <w:szCs w:val="22"/>
              </w:rPr>
            </w:pPr>
            <w:r>
              <w:rPr>
                <w:rFonts w:ascii="Calibri" w:hAnsi="Calibri" w:cs="Calibri"/>
                <w:sz w:val="22"/>
                <w:szCs w:val="22"/>
              </w:rPr>
              <w:t>0.522763</w:t>
            </w:r>
          </w:p>
        </w:tc>
        <w:tc>
          <w:tcPr>
            <w:tcW w:w="1580" w:type="dxa"/>
            <w:tcBorders>
              <w:top w:val="nil"/>
              <w:left w:val="nil"/>
              <w:bottom w:val="nil"/>
              <w:right w:val="nil"/>
            </w:tcBorders>
            <w:shd w:val="clear" w:color="auto" w:fill="auto"/>
            <w:noWrap/>
            <w:vAlign w:val="bottom"/>
            <w:hideMark/>
          </w:tcPr>
          <w:p w14:paraId="66453691" w14:textId="77777777" w:rsidR="009C2A2E" w:rsidRDefault="009C2A2E">
            <w:pPr>
              <w:jc w:val="right"/>
              <w:rPr>
                <w:rFonts w:ascii="Calibri" w:hAnsi="Calibri" w:cs="Calibri"/>
                <w:sz w:val="22"/>
                <w:szCs w:val="22"/>
              </w:rPr>
            </w:pPr>
            <w:r>
              <w:rPr>
                <w:rFonts w:ascii="Calibri" w:hAnsi="Calibri" w:cs="Calibri"/>
                <w:sz w:val="22"/>
                <w:szCs w:val="22"/>
              </w:rPr>
              <w:t>0.119731</w:t>
            </w:r>
          </w:p>
        </w:tc>
        <w:tc>
          <w:tcPr>
            <w:tcW w:w="1020" w:type="dxa"/>
            <w:tcBorders>
              <w:top w:val="nil"/>
              <w:left w:val="nil"/>
              <w:bottom w:val="nil"/>
              <w:right w:val="nil"/>
            </w:tcBorders>
            <w:shd w:val="clear" w:color="auto" w:fill="auto"/>
            <w:noWrap/>
            <w:vAlign w:val="bottom"/>
            <w:hideMark/>
          </w:tcPr>
          <w:p w14:paraId="084B3B5C" w14:textId="77777777" w:rsidR="009C2A2E" w:rsidRDefault="009C2A2E">
            <w:pPr>
              <w:jc w:val="right"/>
              <w:rPr>
                <w:rFonts w:ascii="Calibri" w:hAnsi="Calibri" w:cs="Calibri"/>
                <w:sz w:val="22"/>
                <w:szCs w:val="22"/>
              </w:rPr>
            </w:pPr>
            <w:r>
              <w:rPr>
                <w:rFonts w:ascii="Calibri" w:hAnsi="Calibri" w:cs="Calibri"/>
                <w:sz w:val="22"/>
                <w:szCs w:val="22"/>
              </w:rPr>
              <w:t>0.37367</w:t>
            </w:r>
          </w:p>
        </w:tc>
      </w:tr>
      <w:tr w:rsidR="009C2A2E" w14:paraId="6BEF6431" w14:textId="77777777" w:rsidTr="009C2A2E">
        <w:trPr>
          <w:trHeight w:val="300"/>
        </w:trPr>
        <w:tc>
          <w:tcPr>
            <w:tcW w:w="1800" w:type="dxa"/>
            <w:tcBorders>
              <w:top w:val="nil"/>
              <w:left w:val="nil"/>
              <w:bottom w:val="nil"/>
              <w:right w:val="nil"/>
            </w:tcBorders>
            <w:shd w:val="clear" w:color="auto" w:fill="auto"/>
            <w:noWrap/>
            <w:vAlign w:val="bottom"/>
            <w:hideMark/>
          </w:tcPr>
          <w:p w14:paraId="761B799C" w14:textId="77777777" w:rsidR="009C2A2E" w:rsidRDefault="009C2A2E">
            <w:pPr>
              <w:jc w:val="right"/>
              <w:rPr>
                <w:rFonts w:ascii="Calibri" w:hAnsi="Calibri" w:cs="Calibri"/>
                <w:sz w:val="22"/>
                <w:szCs w:val="22"/>
              </w:rPr>
            </w:pPr>
            <w:r>
              <w:rPr>
                <w:rFonts w:ascii="Calibri" w:hAnsi="Calibri" w:cs="Calibri"/>
                <w:sz w:val="22"/>
                <w:szCs w:val="22"/>
              </w:rPr>
              <w:t>9</w:t>
            </w:r>
          </w:p>
        </w:tc>
        <w:tc>
          <w:tcPr>
            <w:tcW w:w="1380" w:type="dxa"/>
            <w:tcBorders>
              <w:top w:val="nil"/>
              <w:left w:val="nil"/>
              <w:bottom w:val="nil"/>
              <w:right w:val="nil"/>
            </w:tcBorders>
            <w:shd w:val="clear" w:color="auto" w:fill="auto"/>
            <w:noWrap/>
            <w:vAlign w:val="bottom"/>
            <w:hideMark/>
          </w:tcPr>
          <w:p w14:paraId="1715501C" w14:textId="77777777" w:rsidR="009C2A2E" w:rsidRDefault="009C2A2E">
            <w:pPr>
              <w:jc w:val="right"/>
              <w:rPr>
                <w:rFonts w:ascii="Calibri" w:hAnsi="Calibri" w:cs="Calibri"/>
                <w:sz w:val="22"/>
                <w:szCs w:val="22"/>
              </w:rPr>
            </w:pPr>
            <w:r>
              <w:rPr>
                <w:rFonts w:ascii="Calibri" w:hAnsi="Calibri" w:cs="Calibri"/>
                <w:sz w:val="22"/>
                <w:szCs w:val="22"/>
              </w:rPr>
              <w:t>0.000001</w:t>
            </w:r>
          </w:p>
        </w:tc>
        <w:tc>
          <w:tcPr>
            <w:tcW w:w="1140" w:type="dxa"/>
            <w:tcBorders>
              <w:top w:val="nil"/>
              <w:left w:val="nil"/>
              <w:bottom w:val="nil"/>
              <w:right w:val="nil"/>
            </w:tcBorders>
            <w:shd w:val="clear" w:color="auto" w:fill="auto"/>
            <w:noWrap/>
            <w:vAlign w:val="bottom"/>
            <w:hideMark/>
          </w:tcPr>
          <w:p w14:paraId="27AEEE28" w14:textId="77777777" w:rsidR="009C2A2E" w:rsidRDefault="009C2A2E">
            <w:pPr>
              <w:jc w:val="right"/>
              <w:rPr>
                <w:rFonts w:ascii="Calibri" w:hAnsi="Calibri" w:cs="Calibri"/>
                <w:sz w:val="22"/>
                <w:szCs w:val="22"/>
              </w:rPr>
            </w:pPr>
            <w:r>
              <w:rPr>
                <w:rFonts w:ascii="Calibri" w:hAnsi="Calibri" w:cs="Calibri"/>
                <w:sz w:val="22"/>
                <w:szCs w:val="22"/>
              </w:rPr>
              <w:t>1</w:t>
            </w:r>
          </w:p>
        </w:tc>
        <w:tc>
          <w:tcPr>
            <w:tcW w:w="1620" w:type="dxa"/>
            <w:tcBorders>
              <w:top w:val="nil"/>
              <w:left w:val="nil"/>
              <w:bottom w:val="nil"/>
              <w:right w:val="nil"/>
            </w:tcBorders>
            <w:shd w:val="clear" w:color="auto" w:fill="auto"/>
            <w:noWrap/>
            <w:vAlign w:val="bottom"/>
            <w:hideMark/>
          </w:tcPr>
          <w:p w14:paraId="7CF33FE8" w14:textId="77777777" w:rsidR="009C2A2E" w:rsidRDefault="009C2A2E">
            <w:pPr>
              <w:jc w:val="right"/>
              <w:rPr>
                <w:rFonts w:ascii="Calibri" w:hAnsi="Calibri" w:cs="Calibri"/>
                <w:sz w:val="22"/>
                <w:szCs w:val="22"/>
              </w:rPr>
            </w:pPr>
            <w:r>
              <w:rPr>
                <w:rFonts w:ascii="Calibri" w:hAnsi="Calibri" w:cs="Calibri"/>
                <w:sz w:val="22"/>
                <w:szCs w:val="22"/>
              </w:rPr>
              <w:t>0.86858</w:t>
            </w:r>
          </w:p>
        </w:tc>
        <w:tc>
          <w:tcPr>
            <w:tcW w:w="1580" w:type="dxa"/>
            <w:tcBorders>
              <w:top w:val="nil"/>
              <w:left w:val="nil"/>
              <w:bottom w:val="nil"/>
              <w:right w:val="nil"/>
            </w:tcBorders>
            <w:shd w:val="clear" w:color="auto" w:fill="auto"/>
            <w:noWrap/>
            <w:vAlign w:val="bottom"/>
            <w:hideMark/>
          </w:tcPr>
          <w:p w14:paraId="1AE79D25" w14:textId="77777777" w:rsidR="009C2A2E" w:rsidRDefault="009C2A2E">
            <w:pPr>
              <w:jc w:val="right"/>
              <w:rPr>
                <w:rFonts w:ascii="Calibri" w:hAnsi="Calibri" w:cs="Calibri"/>
                <w:sz w:val="22"/>
                <w:szCs w:val="22"/>
              </w:rPr>
            </w:pPr>
            <w:r>
              <w:rPr>
                <w:rFonts w:ascii="Calibri" w:hAnsi="Calibri" w:cs="Calibri"/>
                <w:sz w:val="22"/>
                <w:szCs w:val="22"/>
              </w:rPr>
              <w:t>0.068192</w:t>
            </w:r>
          </w:p>
        </w:tc>
        <w:tc>
          <w:tcPr>
            <w:tcW w:w="1020" w:type="dxa"/>
            <w:tcBorders>
              <w:top w:val="nil"/>
              <w:left w:val="nil"/>
              <w:bottom w:val="nil"/>
              <w:right w:val="nil"/>
            </w:tcBorders>
            <w:shd w:val="clear" w:color="auto" w:fill="auto"/>
            <w:noWrap/>
            <w:vAlign w:val="bottom"/>
            <w:hideMark/>
          </w:tcPr>
          <w:p w14:paraId="428463A4" w14:textId="77777777" w:rsidR="009C2A2E" w:rsidRDefault="009C2A2E">
            <w:pPr>
              <w:jc w:val="right"/>
              <w:rPr>
                <w:rFonts w:ascii="Calibri" w:hAnsi="Calibri" w:cs="Calibri"/>
                <w:sz w:val="22"/>
                <w:szCs w:val="22"/>
              </w:rPr>
            </w:pPr>
            <w:r>
              <w:rPr>
                <w:rFonts w:ascii="Calibri" w:hAnsi="Calibri" w:cs="Calibri"/>
                <w:sz w:val="22"/>
                <w:szCs w:val="22"/>
              </w:rPr>
              <w:t>0.20843</w:t>
            </w:r>
          </w:p>
        </w:tc>
      </w:tr>
      <w:tr w:rsidR="009C2A2E" w14:paraId="5447AB52" w14:textId="77777777" w:rsidTr="009C2A2E">
        <w:trPr>
          <w:trHeight w:val="300"/>
        </w:trPr>
        <w:tc>
          <w:tcPr>
            <w:tcW w:w="1800" w:type="dxa"/>
            <w:tcBorders>
              <w:top w:val="nil"/>
              <w:left w:val="nil"/>
              <w:bottom w:val="nil"/>
              <w:right w:val="nil"/>
            </w:tcBorders>
            <w:shd w:val="clear" w:color="auto" w:fill="auto"/>
            <w:noWrap/>
            <w:vAlign w:val="bottom"/>
            <w:hideMark/>
          </w:tcPr>
          <w:p w14:paraId="59E38EEE" w14:textId="77777777" w:rsidR="009C2A2E" w:rsidRDefault="009C2A2E">
            <w:pPr>
              <w:jc w:val="right"/>
              <w:rPr>
                <w:rFonts w:ascii="Calibri" w:hAnsi="Calibri" w:cs="Calibri"/>
                <w:sz w:val="22"/>
                <w:szCs w:val="22"/>
              </w:rPr>
            </w:pPr>
            <w:r>
              <w:rPr>
                <w:rFonts w:ascii="Calibri" w:hAnsi="Calibri" w:cs="Calibri"/>
                <w:sz w:val="22"/>
                <w:szCs w:val="22"/>
              </w:rPr>
              <w:t>10</w:t>
            </w:r>
          </w:p>
        </w:tc>
        <w:tc>
          <w:tcPr>
            <w:tcW w:w="1380" w:type="dxa"/>
            <w:tcBorders>
              <w:top w:val="nil"/>
              <w:left w:val="nil"/>
              <w:bottom w:val="nil"/>
              <w:right w:val="nil"/>
            </w:tcBorders>
            <w:shd w:val="clear" w:color="auto" w:fill="auto"/>
            <w:noWrap/>
            <w:vAlign w:val="bottom"/>
            <w:hideMark/>
          </w:tcPr>
          <w:p w14:paraId="09EF264B" w14:textId="77777777" w:rsidR="009C2A2E" w:rsidRDefault="009C2A2E">
            <w:pPr>
              <w:jc w:val="right"/>
              <w:rPr>
                <w:rFonts w:ascii="Calibri" w:hAnsi="Calibri" w:cs="Calibri"/>
                <w:sz w:val="22"/>
                <w:szCs w:val="22"/>
              </w:rPr>
            </w:pPr>
            <w:r>
              <w:rPr>
                <w:rFonts w:ascii="Calibri" w:hAnsi="Calibri" w:cs="Calibri"/>
                <w:sz w:val="22"/>
                <w:szCs w:val="22"/>
              </w:rPr>
              <w:t>0</w:t>
            </w:r>
          </w:p>
        </w:tc>
        <w:tc>
          <w:tcPr>
            <w:tcW w:w="1140" w:type="dxa"/>
            <w:tcBorders>
              <w:top w:val="nil"/>
              <w:left w:val="nil"/>
              <w:bottom w:val="nil"/>
              <w:right w:val="nil"/>
            </w:tcBorders>
            <w:shd w:val="clear" w:color="auto" w:fill="auto"/>
            <w:noWrap/>
            <w:vAlign w:val="bottom"/>
            <w:hideMark/>
          </w:tcPr>
          <w:p w14:paraId="369CB8F4" w14:textId="77777777" w:rsidR="009C2A2E" w:rsidRDefault="009C2A2E">
            <w:pPr>
              <w:jc w:val="right"/>
              <w:rPr>
                <w:rFonts w:ascii="Calibri" w:hAnsi="Calibri" w:cs="Calibri"/>
                <w:sz w:val="22"/>
                <w:szCs w:val="22"/>
              </w:rPr>
            </w:pPr>
            <w:r>
              <w:rPr>
                <w:rFonts w:ascii="Calibri" w:hAnsi="Calibri" w:cs="Calibri"/>
                <w:sz w:val="22"/>
                <w:szCs w:val="22"/>
              </w:rPr>
              <w:t>0</w:t>
            </w:r>
          </w:p>
        </w:tc>
        <w:tc>
          <w:tcPr>
            <w:tcW w:w="1620" w:type="dxa"/>
            <w:tcBorders>
              <w:top w:val="nil"/>
              <w:left w:val="nil"/>
              <w:bottom w:val="nil"/>
              <w:right w:val="nil"/>
            </w:tcBorders>
            <w:shd w:val="clear" w:color="auto" w:fill="auto"/>
            <w:noWrap/>
            <w:vAlign w:val="bottom"/>
            <w:hideMark/>
          </w:tcPr>
          <w:p w14:paraId="35703AD7" w14:textId="77777777" w:rsidR="009C2A2E" w:rsidRDefault="009C2A2E">
            <w:pPr>
              <w:jc w:val="right"/>
              <w:rPr>
                <w:rFonts w:ascii="Calibri" w:hAnsi="Calibri" w:cs="Calibri"/>
                <w:sz w:val="22"/>
                <w:szCs w:val="22"/>
              </w:rPr>
            </w:pPr>
            <w:r>
              <w:rPr>
                <w:rFonts w:ascii="Calibri" w:hAnsi="Calibri" w:cs="Calibri"/>
                <w:sz w:val="22"/>
                <w:szCs w:val="22"/>
              </w:rPr>
              <w:t>0.67294</w:t>
            </w:r>
          </w:p>
        </w:tc>
        <w:tc>
          <w:tcPr>
            <w:tcW w:w="1580" w:type="dxa"/>
            <w:tcBorders>
              <w:top w:val="nil"/>
              <w:left w:val="nil"/>
              <w:bottom w:val="nil"/>
              <w:right w:val="nil"/>
            </w:tcBorders>
            <w:shd w:val="clear" w:color="auto" w:fill="auto"/>
            <w:noWrap/>
            <w:vAlign w:val="bottom"/>
            <w:hideMark/>
          </w:tcPr>
          <w:p w14:paraId="2D8E078C" w14:textId="77777777" w:rsidR="009C2A2E" w:rsidRDefault="009C2A2E">
            <w:pPr>
              <w:jc w:val="right"/>
              <w:rPr>
                <w:rFonts w:ascii="Calibri" w:hAnsi="Calibri" w:cs="Calibri"/>
                <w:sz w:val="22"/>
                <w:szCs w:val="22"/>
              </w:rPr>
            </w:pPr>
            <w:r>
              <w:rPr>
                <w:rFonts w:ascii="Calibri" w:hAnsi="Calibri" w:cs="Calibri"/>
                <w:sz w:val="22"/>
                <w:szCs w:val="22"/>
              </w:rPr>
              <w:t>0.070641</w:t>
            </w:r>
          </w:p>
        </w:tc>
        <w:tc>
          <w:tcPr>
            <w:tcW w:w="1020" w:type="dxa"/>
            <w:tcBorders>
              <w:top w:val="nil"/>
              <w:left w:val="nil"/>
              <w:bottom w:val="nil"/>
              <w:right w:val="nil"/>
            </w:tcBorders>
            <w:shd w:val="clear" w:color="auto" w:fill="auto"/>
            <w:noWrap/>
            <w:vAlign w:val="bottom"/>
            <w:hideMark/>
          </w:tcPr>
          <w:p w14:paraId="3CC45D9A" w14:textId="77777777" w:rsidR="009C2A2E" w:rsidRDefault="009C2A2E">
            <w:pPr>
              <w:jc w:val="right"/>
              <w:rPr>
                <w:rFonts w:ascii="Calibri" w:hAnsi="Calibri" w:cs="Calibri"/>
                <w:sz w:val="22"/>
                <w:szCs w:val="22"/>
              </w:rPr>
            </w:pPr>
            <w:r>
              <w:rPr>
                <w:rFonts w:ascii="Calibri" w:hAnsi="Calibri" w:cs="Calibri"/>
                <w:sz w:val="22"/>
                <w:szCs w:val="22"/>
              </w:rPr>
              <w:t>0.38939</w:t>
            </w:r>
          </w:p>
        </w:tc>
      </w:tr>
      <w:tr w:rsidR="009C2A2E" w14:paraId="1E5BD9A9" w14:textId="77777777" w:rsidTr="009C2A2E">
        <w:trPr>
          <w:trHeight w:val="300"/>
        </w:trPr>
        <w:tc>
          <w:tcPr>
            <w:tcW w:w="1800" w:type="dxa"/>
            <w:tcBorders>
              <w:top w:val="nil"/>
              <w:left w:val="nil"/>
              <w:bottom w:val="nil"/>
              <w:right w:val="nil"/>
            </w:tcBorders>
            <w:shd w:val="clear" w:color="auto" w:fill="auto"/>
            <w:noWrap/>
            <w:vAlign w:val="bottom"/>
            <w:hideMark/>
          </w:tcPr>
          <w:p w14:paraId="5C84427A" w14:textId="77777777" w:rsidR="009C2A2E" w:rsidRDefault="009C2A2E">
            <w:pPr>
              <w:jc w:val="right"/>
              <w:rPr>
                <w:rFonts w:ascii="Calibri" w:hAnsi="Calibri" w:cs="Calibri"/>
                <w:sz w:val="22"/>
                <w:szCs w:val="22"/>
              </w:rPr>
            </w:pPr>
            <w:r>
              <w:rPr>
                <w:rFonts w:ascii="Calibri" w:hAnsi="Calibri" w:cs="Calibri"/>
                <w:sz w:val="22"/>
                <w:szCs w:val="22"/>
              </w:rPr>
              <w:t>11</w:t>
            </w:r>
          </w:p>
        </w:tc>
        <w:tc>
          <w:tcPr>
            <w:tcW w:w="1380" w:type="dxa"/>
            <w:tcBorders>
              <w:top w:val="nil"/>
              <w:left w:val="nil"/>
              <w:bottom w:val="nil"/>
              <w:right w:val="nil"/>
            </w:tcBorders>
            <w:shd w:val="clear" w:color="auto" w:fill="auto"/>
            <w:noWrap/>
            <w:vAlign w:val="bottom"/>
            <w:hideMark/>
          </w:tcPr>
          <w:p w14:paraId="58F72C6B" w14:textId="77777777" w:rsidR="009C2A2E" w:rsidRDefault="009C2A2E">
            <w:pPr>
              <w:jc w:val="right"/>
              <w:rPr>
                <w:rFonts w:ascii="Calibri" w:hAnsi="Calibri" w:cs="Calibri"/>
                <w:sz w:val="22"/>
                <w:szCs w:val="22"/>
              </w:rPr>
            </w:pPr>
            <w:r>
              <w:rPr>
                <w:rFonts w:ascii="Calibri" w:hAnsi="Calibri" w:cs="Calibri"/>
                <w:sz w:val="22"/>
                <w:szCs w:val="22"/>
              </w:rPr>
              <w:t>-0.000001</w:t>
            </w:r>
          </w:p>
        </w:tc>
        <w:tc>
          <w:tcPr>
            <w:tcW w:w="1140" w:type="dxa"/>
            <w:tcBorders>
              <w:top w:val="nil"/>
              <w:left w:val="nil"/>
              <w:bottom w:val="nil"/>
              <w:right w:val="nil"/>
            </w:tcBorders>
            <w:shd w:val="clear" w:color="auto" w:fill="auto"/>
            <w:noWrap/>
            <w:vAlign w:val="bottom"/>
            <w:hideMark/>
          </w:tcPr>
          <w:p w14:paraId="1D6FE681" w14:textId="77777777" w:rsidR="009C2A2E" w:rsidRDefault="009C2A2E">
            <w:pPr>
              <w:jc w:val="right"/>
              <w:rPr>
                <w:rFonts w:ascii="Calibri" w:hAnsi="Calibri" w:cs="Calibri"/>
                <w:sz w:val="22"/>
                <w:szCs w:val="22"/>
              </w:rPr>
            </w:pPr>
            <w:r>
              <w:rPr>
                <w:rFonts w:ascii="Calibri" w:hAnsi="Calibri" w:cs="Calibri"/>
                <w:sz w:val="22"/>
                <w:szCs w:val="22"/>
              </w:rPr>
              <w:t>-1</w:t>
            </w:r>
          </w:p>
        </w:tc>
        <w:tc>
          <w:tcPr>
            <w:tcW w:w="1620" w:type="dxa"/>
            <w:tcBorders>
              <w:top w:val="nil"/>
              <w:left w:val="nil"/>
              <w:bottom w:val="nil"/>
              <w:right w:val="nil"/>
            </w:tcBorders>
            <w:shd w:val="clear" w:color="auto" w:fill="auto"/>
            <w:noWrap/>
            <w:vAlign w:val="bottom"/>
            <w:hideMark/>
          </w:tcPr>
          <w:p w14:paraId="68EAB056" w14:textId="77777777" w:rsidR="009C2A2E" w:rsidRDefault="009C2A2E">
            <w:pPr>
              <w:jc w:val="right"/>
              <w:rPr>
                <w:rFonts w:ascii="Calibri" w:hAnsi="Calibri" w:cs="Calibri"/>
                <w:sz w:val="22"/>
                <w:szCs w:val="22"/>
              </w:rPr>
            </w:pPr>
            <w:r>
              <w:rPr>
                <w:rFonts w:ascii="Calibri" w:hAnsi="Calibri" w:cs="Calibri"/>
                <w:sz w:val="22"/>
                <w:szCs w:val="22"/>
              </w:rPr>
              <w:t>0.512695</w:t>
            </w:r>
          </w:p>
        </w:tc>
        <w:tc>
          <w:tcPr>
            <w:tcW w:w="1580" w:type="dxa"/>
            <w:tcBorders>
              <w:top w:val="nil"/>
              <w:left w:val="nil"/>
              <w:bottom w:val="nil"/>
              <w:right w:val="nil"/>
            </w:tcBorders>
            <w:shd w:val="clear" w:color="auto" w:fill="auto"/>
            <w:noWrap/>
            <w:vAlign w:val="bottom"/>
            <w:hideMark/>
          </w:tcPr>
          <w:p w14:paraId="0E7BCC68" w14:textId="77777777" w:rsidR="009C2A2E" w:rsidRDefault="009C2A2E">
            <w:pPr>
              <w:jc w:val="right"/>
              <w:rPr>
                <w:rFonts w:ascii="Calibri" w:hAnsi="Calibri" w:cs="Calibri"/>
                <w:sz w:val="22"/>
                <w:szCs w:val="22"/>
              </w:rPr>
            </w:pPr>
            <w:r>
              <w:rPr>
                <w:rFonts w:ascii="Calibri" w:hAnsi="Calibri" w:cs="Calibri"/>
                <w:sz w:val="22"/>
                <w:szCs w:val="22"/>
              </w:rPr>
              <w:t>0.114533</w:t>
            </w:r>
          </w:p>
        </w:tc>
        <w:tc>
          <w:tcPr>
            <w:tcW w:w="1020" w:type="dxa"/>
            <w:tcBorders>
              <w:top w:val="nil"/>
              <w:left w:val="nil"/>
              <w:bottom w:val="nil"/>
              <w:right w:val="nil"/>
            </w:tcBorders>
            <w:shd w:val="clear" w:color="auto" w:fill="auto"/>
            <w:noWrap/>
            <w:vAlign w:val="bottom"/>
            <w:hideMark/>
          </w:tcPr>
          <w:p w14:paraId="3E5D5A3E" w14:textId="77777777" w:rsidR="009C2A2E" w:rsidRDefault="009C2A2E">
            <w:pPr>
              <w:jc w:val="right"/>
              <w:rPr>
                <w:rFonts w:ascii="Calibri" w:hAnsi="Calibri" w:cs="Calibri"/>
                <w:sz w:val="22"/>
                <w:szCs w:val="22"/>
              </w:rPr>
            </w:pPr>
            <w:r>
              <w:rPr>
                <w:rFonts w:ascii="Calibri" w:hAnsi="Calibri" w:cs="Calibri"/>
                <w:sz w:val="22"/>
                <w:szCs w:val="22"/>
              </w:rPr>
              <w:t>0.37017</w:t>
            </w:r>
          </w:p>
        </w:tc>
      </w:tr>
    </w:tbl>
    <w:p w14:paraId="2E0EB858" w14:textId="77777777" w:rsidR="006F1088" w:rsidRDefault="006F1088" w:rsidP="006C430A">
      <w:pPr>
        <w:spacing w:line="480" w:lineRule="auto"/>
        <w:rPr>
          <w:rFonts w:ascii="Times" w:hAnsi="Times"/>
          <w:b/>
          <w:bCs/>
          <w:sz w:val="32"/>
          <w:szCs w:val="32"/>
        </w:rPr>
      </w:pPr>
    </w:p>
    <w:p w14:paraId="1F58F8CD" w14:textId="4935DC57" w:rsidR="006C430A" w:rsidRDefault="006C430A" w:rsidP="006C430A">
      <w:pPr>
        <w:spacing w:line="480" w:lineRule="auto"/>
        <w:rPr>
          <w:rFonts w:ascii="Times" w:hAnsi="Times"/>
          <w:b/>
          <w:bCs/>
          <w:sz w:val="32"/>
          <w:szCs w:val="32"/>
        </w:rPr>
      </w:pPr>
      <w:r>
        <w:rPr>
          <w:rFonts w:ascii="Times" w:hAnsi="Times"/>
          <w:b/>
          <w:bCs/>
          <w:sz w:val="32"/>
          <w:szCs w:val="32"/>
        </w:rPr>
        <w:t xml:space="preserve">Map 3: </w:t>
      </w:r>
      <w:r w:rsidR="0022708F">
        <w:rPr>
          <w:rFonts w:ascii="Times" w:hAnsi="Times"/>
          <w:b/>
          <w:bCs/>
          <w:sz w:val="32"/>
          <w:szCs w:val="32"/>
        </w:rPr>
        <w:t>Proportional Representation</w:t>
      </w:r>
    </w:p>
    <w:tbl>
      <w:tblPr>
        <w:tblW w:w="9031" w:type="dxa"/>
        <w:tblLook w:val="04A0" w:firstRow="1" w:lastRow="0" w:firstColumn="1" w:lastColumn="0" w:noHBand="0" w:noVBand="1"/>
      </w:tblPr>
      <w:tblGrid>
        <w:gridCol w:w="874"/>
        <w:gridCol w:w="6"/>
        <w:gridCol w:w="1246"/>
        <w:gridCol w:w="134"/>
        <w:gridCol w:w="981"/>
        <w:gridCol w:w="399"/>
        <w:gridCol w:w="951"/>
        <w:gridCol w:w="369"/>
        <w:gridCol w:w="1300"/>
        <w:gridCol w:w="502"/>
        <w:gridCol w:w="878"/>
        <w:gridCol w:w="1380"/>
        <w:gridCol w:w="11"/>
      </w:tblGrid>
      <w:tr w:rsidR="0013326E" w14:paraId="5D99577A" w14:textId="77777777" w:rsidTr="0013326E">
        <w:trPr>
          <w:trHeight w:val="264"/>
        </w:trPr>
        <w:tc>
          <w:tcPr>
            <w:tcW w:w="874" w:type="dxa"/>
            <w:tcBorders>
              <w:top w:val="nil"/>
              <w:left w:val="nil"/>
              <w:bottom w:val="nil"/>
              <w:right w:val="nil"/>
            </w:tcBorders>
            <w:shd w:val="clear" w:color="auto" w:fill="auto"/>
            <w:noWrap/>
            <w:vAlign w:val="bottom"/>
            <w:hideMark/>
          </w:tcPr>
          <w:p w14:paraId="6B459FBE" w14:textId="77777777" w:rsidR="0013326E" w:rsidRDefault="0013326E">
            <w:pPr>
              <w:rPr>
                <w:rFonts w:ascii="Calibri" w:hAnsi="Calibri" w:cs="Calibri"/>
                <w:b/>
                <w:bCs/>
                <w:sz w:val="22"/>
                <w:szCs w:val="22"/>
              </w:rPr>
            </w:pPr>
            <w:r>
              <w:rPr>
                <w:rFonts w:ascii="Calibri" w:hAnsi="Calibri" w:cs="Calibri"/>
                <w:b/>
                <w:bCs/>
                <w:sz w:val="22"/>
                <w:szCs w:val="22"/>
              </w:rPr>
              <w:t>District</w:t>
            </w:r>
          </w:p>
        </w:tc>
        <w:tc>
          <w:tcPr>
            <w:tcW w:w="1252" w:type="dxa"/>
            <w:gridSpan w:val="2"/>
            <w:tcBorders>
              <w:top w:val="nil"/>
              <w:left w:val="nil"/>
              <w:bottom w:val="nil"/>
              <w:right w:val="nil"/>
            </w:tcBorders>
            <w:shd w:val="clear" w:color="auto" w:fill="auto"/>
            <w:noWrap/>
            <w:vAlign w:val="bottom"/>
            <w:hideMark/>
          </w:tcPr>
          <w:p w14:paraId="690E3ACD" w14:textId="77777777" w:rsidR="0013326E" w:rsidRDefault="0013326E">
            <w:pPr>
              <w:rPr>
                <w:rFonts w:ascii="Calibri" w:hAnsi="Calibri" w:cs="Calibri"/>
                <w:b/>
                <w:bCs/>
                <w:sz w:val="22"/>
                <w:szCs w:val="22"/>
              </w:rPr>
            </w:pPr>
            <w:r>
              <w:rPr>
                <w:rFonts w:ascii="Calibri" w:hAnsi="Calibri" w:cs="Calibri"/>
                <w:b/>
                <w:bCs/>
                <w:sz w:val="22"/>
                <w:szCs w:val="22"/>
              </w:rPr>
              <w:t>Population</w:t>
            </w:r>
          </w:p>
        </w:tc>
        <w:tc>
          <w:tcPr>
            <w:tcW w:w="1115" w:type="dxa"/>
            <w:gridSpan w:val="2"/>
            <w:tcBorders>
              <w:top w:val="nil"/>
              <w:left w:val="nil"/>
              <w:bottom w:val="nil"/>
              <w:right w:val="nil"/>
            </w:tcBorders>
            <w:shd w:val="clear" w:color="auto" w:fill="auto"/>
            <w:noWrap/>
            <w:vAlign w:val="bottom"/>
            <w:hideMark/>
          </w:tcPr>
          <w:p w14:paraId="61F2B133" w14:textId="77777777" w:rsidR="0013326E" w:rsidRDefault="0013326E">
            <w:pPr>
              <w:rPr>
                <w:rFonts w:ascii="Calibri" w:hAnsi="Calibri" w:cs="Calibri"/>
                <w:b/>
                <w:bCs/>
                <w:sz w:val="22"/>
                <w:szCs w:val="22"/>
              </w:rPr>
            </w:pPr>
            <w:r>
              <w:rPr>
                <w:rFonts w:ascii="Calibri" w:hAnsi="Calibri" w:cs="Calibri"/>
                <w:b/>
                <w:bCs/>
                <w:sz w:val="22"/>
                <w:szCs w:val="22"/>
              </w:rPr>
              <w:t>Deviation</w:t>
            </w:r>
          </w:p>
        </w:tc>
        <w:tc>
          <w:tcPr>
            <w:tcW w:w="1350" w:type="dxa"/>
            <w:gridSpan w:val="2"/>
            <w:tcBorders>
              <w:top w:val="nil"/>
              <w:left w:val="nil"/>
              <w:bottom w:val="nil"/>
              <w:right w:val="nil"/>
            </w:tcBorders>
            <w:shd w:val="clear" w:color="auto" w:fill="auto"/>
            <w:noWrap/>
            <w:vAlign w:val="bottom"/>
            <w:hideMark/>
          </w:tcPr>
          <w:p w14:paraId="3684CC7E" w14:textId="77777777" w:rsidR="0013326E" w:rsidRDefault="0013326E">
            <w:pPr>
              <w:rPr>
                <w:rFonts w:ascii="Calibri" w:hAnsi="Calibri" w:cs="Calibri"/>
                <w:b/>
                <w:bCs/>
                <w:sz w:val="22"/>
                <w:szCs w:val="22"/>
              </w:rPr>
            </w:pPr>
            <w:r>
              <w:rPr>
                <w:rFonts w:ascii="Calibri" w:hAnsi="Calibri" w:cs="Calibri"/>
                <w:b/>
                <w:bCs/>
                <w:sz w:val="22"/>
                <w:szCs w:val="22"/>
              </w:rPr>
              <w:t>% Deviation</w:t>
            </w:r>
          </w:p>
        </w:tc>
        <w:tc>
          <w:tcPr>
            <w:tcW w:w="2171" w:type="dxa"/>
            <w:gridSpan w:val="3"/>
            <w:tcBorders>
              <w:top w:val="nil"/>
              <w:left w:val="nil"/>
              <w:bottom w:val="nil"/>
              <w:right w:val="nil"/>
            </w:tcBorders>
            <w:shd w:val="clear" w:color="auto" w:fill="auto"/>
            <w:noWrap/>
            <w:vAlign w:val="bottom"/>
            <w:hideMark/>
          </w:tcPr>
          <w:p w14:paraId="1FA5C4E2" w14:textId="77777777" w:rsidR="0013326E" w:rsidRDefault="0013326E">
            <w:pPr>
              <w:rPr>
                <w:rFonts w:ascii="Calibri" w:hAnsi="Calibri" w:cs="Calibri"/>
                <w:b/>
                <w:bCs/>
                <w:sz w:val="22"/>
                <w:szCs w:val="22"/>
              </w:rPr>
            </w:pPr>
            <w:r>
              <w:rPr>
                <w:rFonts w:ascii="Calibri" w:hAnsi="Calibri" w:cs="Calibri"/>
                <w:b/>
                <w:bCs/>
                <w:sz w:val="22"/>
                <w:szCs w:val="22"/>
              </w:rPr>
              <w:t>% NH Black CVAP 19</w:t>
            </w:r>
          </w:p>
        </w:tc>
        <w:tc>
          <w:tcPr>
            <w:tcW w:w="2269" w:type="dxa"/>
            <w:gridSpan w:val="3"/>
            <w:tcBorders>
              <w:top w:val="nil"/>
              <w:left w:val="nil"/>
              <w:bottom w:val="nil"/>
              <w:right w:val="nil"/>
            </w:tcBorders>
            <w:shd w:val="clear" w:color="auto" w:fill="auto"/>
            <w:noWrap/>
            <w:vAlign w:val="bottom"/>
            <w:hideMark/>
          </w:tcPr>
          <w:p w14:paraId="357ED40A" w14:textId="77777777" w:rsidR="0013326E" w:rsidRDefault="0013326E">
            <w:pPr>
              <w:rPr>
                <w:rFonts w:ascii="Calibri" w:hAnsi="Calibri" w:cs="Calibri"/>
                <w:b/>
                <w:bCs/>
                <w:sz w:val="22"/>
                <w:szCs w:val="22"/>
              </w:rPr>
            </w:pPr>
            <w:r>
              <w:rPr>
                <w:rFonts w:ascii="Calibri" w:hAnsi="Calibri" w:cs="Calibri"/>
                <w:b/>
                <w:bCs/>
                <w:sz w:val="22"/>
                <w:szCs w:val="22"/>
              </w:rPr>
              <w:t>% NH White CVAP 19</w:t>
            </w:r>
          </w:p>
        </w:tc>
      </w:tr>
      <w:tr w:rsidR="0013326E" w14:paraId="03FCE53B" w14:textId="77777777" w:rsidTr="0013326E">
        <w:trPr>
          <w:trHeight w:val="264"/>
        </w:trPr>
        <w:tc>
          <w:tcPr>
            <w:tcW w:w="874" w:type="dxa"/>
            <w:tcBorders>
              <w:top w:val="nil"/>
              <w:left w:val="nil"/>
              <w:bottom w:val="nil"/>
              <w:right w:val="nil"/>
            </w:tcBorders>
            <w:shd w:val="clear" w:color="auto" w:fill="auto"/>
            <w:noWrap/>
            <w:vAlign w:val="bottom"/>
            <w:hideMark/>
          </w:tcPr>
          <w:p w14:paraId="5EBDC6F9" w14:textId="77777777" w:rsidR="0013326E" w:rsidRDefault="0013326E">
            <w:pPr>
              <w:rPr>
                <w:rFonts w:ascii="Calibri" w:hAnsi="Calibri" w:cs="Calibri"/>
                <w:sz w:val="22"/>
                <w:szCs w:val="22"/>
              </w:rPr>
            </w:pPr>
            <w:r>
              <w:rPr>
                <w:rFonts w:ascii="Calibri" w:hAnsi="Calibri" w:cs="Calibri"/>
                <w:sz w:val="22"/>
                <w:szCs w:val="22"/>
              </w:rPr>
              <w:t>1</w:t>
            </w:r>
          </w:p>
        </w:tc>
        <w:tc>
          <w:tcPr>
            <w:tcW w:w="1252" w:type="dxa"/>
            <w:gridSpan w:val="2"/>
            <w:tcBorders>
              <w:top w:val="nil"/>
              <w:left w:val="nil"/>
              <w:bottom w:val="nil"/>
              <w:right w:val="nil"/>
            </w:tcBorders>
            <w:shd w:val="clear" w:color="auto" w:fill="auto"/>
            <w:noWrap/>
            <w:vAlign w:val="bottom"/>
            <w:hideMark/>
          </w:tcPr>
          <w:p w14:paraId="31872EA0" w14:textId="77777777" w:rsidR="0013326E" w:rsidRDefault="0013326E">
            <w:pPr>
              <w:jc w:val="right"/>
              <w:rPr>
                <w:rFonts w:ascii="Calibri" w:hAnsi="Calibri" w:cs="Calibri"/>
                <w:sz w:val="22"/>
                <w:szCs w:val="22"/>
              </w:rPr>
            </w:pPr>
            <w:r>
              <w:rPr>
                <w:rFonts w:ascii="Calibri" w:hAnsi="Calibri" w:cs="Calibri"/>
                <w:sz w:val="22"/>
                <w:szCs w:val="22"/>
              </w:rPr>
              <w:t>784672</w:t>
            </w:r>
          </w:p>
        </w:tc>
        <w:tc>
          <w:tcPr>
            <w:tcW w:w="1115" w:type="dxa"/>
            <w:gridSpan w:val="2"/>
            <w:tcBorders>
              <w:top w:val="nil"/>
              <w:left w:val="nil"/>
              <w:bottom w:val="nil"/>
              <w:right w:val="nil"/>
            </w:tcBorders>
            <w:shd w:val="clear" w:color="auto" w:fill="auto"/>
            <w:noWrap/>
            <w:vAlign w:val="bottom"/>
            <w:hideMark/>
          </w:tcPr>
          <w:p w14:paraId="2A1486BE" w14:textId="77777777" w:rsidR="0013326E" w:rsidRDefault="0013326E">
            <w:pPr>
              <w:jc w:val="right"/>
              <w:rPr>
                <w:rFonts w:ascii="Calibri" w:hAnsi="Calibri" w:cs="Calibri"/>
                <w:sz w:val="22"/>
                <w:szCs w:val="22"/>
              </w:rPr>
            </w:pPr>
            <w:r>
              <w:rPr>
                <w:rFonts w:ascii="Calibri" w:hAnsi="Calibri" w:cs="Calibri"/>
                <w:sz w:val="22"/>
                <w:szCs w:val="22"/>
              </w:rPr>
              <w:t>0</w:t>
            </w:r>
          </w:p>
        </w:tc>
        <w:tc>
          <w:tcPr>
            <w:tcW w:w="1350" w:type="dxa"/>
            <w:gridSpan w:val="2"/>
            <w:tcBorders>
              <w:top w:val="nil"/>
              <w:left w:val="nil"/>
              <w:bottom w:val="nil"/>
              <w:right w:val="nil"/>
            </w:tcBorders>
            <w:shd w:val="clear" w:color="auto" w:fill="auto"/>
            <w:noWrap/>
            <w:vAlign w:val="bottom"/>
            <w:hideMark/>
          </w:tcPr>
          <w:p w14:paraId="7081FFF6" w14:textId="77777777" w:rsidR="0013326E" w:rsidRDefault="0013326E">
            <w:pPr>
              <w:jc w:val="right"/>
              <w:rPr>
                <w:rFonts w:ascii="Calibri" w:hAnsi="Calibri" w:cs="Calibri"/>
                <w:sz w:val="22"/>
                <w:szCs w:val="22"/>
              </w:rPr>
            </w:pPr>
            <w:r>
              <w:rPr>
                <w:rFonts w:ascii="Calibri" w:hAnsi="Calibri" w:cs="Calibri"/>
                <w:sz w:val="22"/>
                <w:szCs w:val="22"/>
              </w:rPr>
              <w:t>0</w:t>
            </w:r>
          </w:p>
        </w:tc>
        <w:tc>
          <w:tcPr>
            <w:tcW w:w="2171" w:type="dxa"/>
            <w:gridSpan w:val="3"/>
            <w:tcBorders>
              <w:top w:val="nil"/>
              <w:left w:val="nil"/>
              <w:bottom w:val="nil"/>
              <w:right w:val="nil"/>
            </w:tcBorders>
            <w:shd w:val="clear" w:color="auto" w:fill="auto"/>
            <w:noWrap/>
            <w:vAlign w:val="bottom"/>
            <w:hideMark/>
          </w:tcPr>
          <w:p w14:paraId="46457182" w14:textId="77777777" w:rsidR="0013326E" w:rsidRDefault="0013326E">
            <w:pPr>
              <w:jc w:val="right"/>
              <w:rPr>
                <w:rFonts w:ascii="Calibri" w:hAnsi="Calibri" w:cs="Calibri"/>
                <w:sz w:val="22"/>
                <w:szCs w:val="22"/>
              </w:rPr>
            </w:pPr>
            <w:r>
              <w:rPr>
                <w:rFonts w:ascii="Calibri" w:hAnsi="Calibri" w:cs="Calibri"/>
                <w:sz w:val="22"/>
                <w:szCs w:val="22"/>
              </w:rPr>
              <w:t>17.3%</w:t>
            </w:r>
          </w:p>
        </w:tc>
        <w:tc>
          <w:tcPr>
            <w:tcW w:w="2269" w:type="dxa"/>
            <w:gridSpan w:val="3"/>
            <w:tcBorders>
              <w:top w:val="nil"/>
              <w:left w:val="nil"/>
              <w:bottom w:val="nil"/>
              <w:right w:val="nil"/>
            </w:tcBorders>
            <w:shd w:val="clear" w:color="auto" w:fill="auto"/>
            <w:noWrap/>
            <w:vAlign w:val="bottom"/>
            <w:hideMark/>
          </w:tcPr>
          <w:p w14:paraId="71206CDA" w14:textId="77777777" w:rsidR="0013326E" w:rsidRDefault="0013326E">
            <w:pPr>
              <w:jc w:val="right"/>
              <w:rPr>
                <w:rFonts w:ascii="Calibri" w:hAnsi="Calibri" w:cs="Calibri"/>
                <w:sz w:val="22"/>
                <w:szCs w:val="22"/>
              </w:rPr>
            </w:pPr>
            <w:r>
              <w:rPr>
                <w:rFonts w:ascii="Calibri" w:hAnsi="Calibri" w:cs="Calibri"/>
                <w:sz w:val="22"/>
                <w:szCs w:val="22"/>
              </w:rPr>
              <w:t>74.6%</w:t>
            </w:r>
          </w:p>
        </w:tc>
      </w:tr>
      <w:tr w:rsidR="0013326E" w14:paraId="377A8C50" w14:textId="77777777" w:rsidTr="0013326E">
        <w:trPr>
          <w:trHeight w:val="264"/>
        </w:trPr>
        <w:tc>
          <w:tcPr>
            <w:tcW w:w="874" w:type="dxa"/>
            <w:tcBorders>
              <w:top w:val="nil"/>
              <w:left w:val="nil"/>
              <w:bottom w:val="nil"/>
              <w:right w:val="nil"/>
            </w:tcBorders>
            <w:shd w:val="clear" w:color="auto" w:fill="auto"/>
            <w:noWrap/>
            <w:vAlign w:val="bottom"/>
            <w:hideMark/>
          </w:tcPr>
          <w:p w14:paraId="17F2A9A1" w14:textId="77777777" w:rsidR="0013326E" w:rsidRDefault="0013326E">
            <w:pPr>
              <w:rPr>
                <w:rFonts w:ascii="Calibri" w:hAnsi="Calibri" w:cs="Calibri"/>
                <w:sz w:val="22"/>
                <w:szCs w:val="22"/>
              </w:rPr>
            </w:pPr>
            <w:r>
              <w:rPr>
                <w:rFonts w:ascii="Calibri" w:hAnsi="Calibri" w:cs="Calibri"/>
                <w:sz w:val="22"/>
                <w:szCs w:val="22"/>
              </w:rPr>
              <w:t>2</w:t>
            </w:r>
          </w:p>
        </w:tc>
        <w:tc>
          <w:tcPr>
            <w:tcW w:w="1252" w:type="dxa"/>
            <w:gridSpan w:val="2"/>
            <w:tcBorders>
              <w:top w:val="nil"/>
              <w:left w:val="nil"/>
              <w:bottom w:val="nil"/>
              <w:right w:val="nil"/>
            </w:tcBorders>
            <w:shd w:val="clear" w:color="auto" w:fill="auto"/>
            <w:noWrap/>
            <w:vAlign w:val="bottom"/>
            <w:hideMark/>
          </w:tcPr>
          <w:p w14:paraId="53624ADF" w14:textId="77777777" w:rsidR="0013326E" w:rsidRDefault="0013326E">
            <w:pPr>
              <w:jc w:val="right"/>
              <w:rPr>
                <w:rFonts w:ascii="Calibri" w:hAnsi="Calibri" w:cs="Calibri"/>
                <w:sz w:val="22"/>
                <w:szCs w:val="22"/>
              </w:rPr>
            </w:pPr>
            <w:r>
              <w:rPr>
                <w:rFonts w:ascii="Calibri" w:hAnsi="Calibri" w:cs="Calibri"/>
                <w:sz w:val="22"/>
                <w:szCs w:val="22"/>
              </w:rPr>
              <w:t>784672</w:t>
            </w:r>
          </w:p>
        </w:tc>
        <w:tc>
          <w:tcPr>
            <w:tcW w:w="1115" w:type="dxa"/>
            <w:gridSpan w:val="2"/>
            <w:tcBorders>
              <w:top w:val="nil"/>
              <w:left w:val="nil"/>
              <w:bottom w:val="nil"/>
              <w:right w:val="nil"/>
            </w:tcBorders>
            <w:shd w:val="clear" w:color="auto" w:fill="auto"/>
            <w:noWrap/>
            <w:vAlign w:val="bottom"/>
            <w:hideMark/>
          </w:tcPr>
          <w:p w14:paraId="7CDF2E7D" w14:textId="77777777" w:rsidR="0013326E" w:rsidRDefault="0013326E">
            <w:pPr>
              <w:jc w:val="right"/>
              <w:rPr>
                <w:rFonts w:ascii="Calibri" w:hAnsi="Calibri" w:cs="Calibri"/>
                <w:sz w:val="22"/>
                <w:szCs w:val="22"/>
              </w:rPr>
            </w:pPr>
            <w:r>
              <w:rPr>
                <w:rFonts w:ascii="Calibri" w:hAnsi="Calibri" w:cs="Calibri"/>
                <w:sz w:val="22"/>
                <w:szCs w:val="22"/>
              </w:rPr>
              <w:t>0</w:t>
            </w:r>
          </w:p>
        </w:tc>
        <w:tc>
          <w:tcPr>
            <w:tcW w:w="1350" w:type="dxa"/>
            <w:gridSpan w:val="2"/>
            <w:tcBorders>
              <w:top w:val="nil"/>
              <w:left w:val="nil"/>
              <w:bottom w:val="nil"/>
              <w:right w:val="nil"/>
            </w:tcBorders>
            <w:shd w:val="clear" w:color="auto" w:fill="auto"/>
            <w:noWrap/>
            <w:vAlign w:val="bottom"/>
            <w:hideMark/>
          </w:tcPr>
          <w:p w14:paraId="19077DAE" w14:textId="77777777" w:rsidR="0013326E" w:rsidRDefault="0013326E">
            <w:pPr>
              <w:jc w:val="right"/>
              <w:rPr>
                <w:rFonts w:ascii="Calibri" w:hAnsi="Calibri" w:cs="Calibri"/>
                <w:sz w:val="22"/>
                <w:szCs w:val="22"/>
              </w:rPr>
            </w:pPr>
            <w:r>
              <w:rPr>
                <w:rFonts w:ascii="Calibri" w:hAnsi="Calibri" w:cs="Calibri"/>
                <w:sz w:val="22"/>
                <w:szCs w:val="22"/>
              </w:rPr>
              <w:t>0</w:t>
            </w:r>
          </w:p>
        </w:tc>
        <w:tc>
          <w:tcPr>
            <w:tcW w:w="2171" w:type="dxa"/>
            <w:gridSpan w:val="3"/>
            <w:tcBorders>
              <w:top w:val="nil"/>
              <w:left w:val="nil"/>
              <w:bottom w:val="nil"/>
              <w:right w:val="nil"/>
            </w:tcBorders>
            <w:shd w:val="clear" w:color="auto" w:fill="auto"/>
            <w:noWrap/>
            <w:vAlign w:val="bottom"/>
            <w:hideMark/>
          </w:tcPr>
          <w:p w14:paraId="4F6D30E3" w14:textId="77777777" w:rsidR="0013326E" w:rsidRDefault="0013326E">
            <w:pPr>
              <w:jc w:val="right"/>
              <w:rPr>
                <w:rFonts w:ascii="Calibri" w:hAnsi="Calibri" w:cs="Calibri"/>
                <w:sz w:val="22"/>
                <w:szCs w:val="22"/>
              </w:rPr>
            </w:pPr>
            <w:r>
              <w:rPr>
                <w:rFonts w:ascii="Calibri" w:hAnsi="Calibri" w:cs="Calibri"/>
                <w:sz w:val="22"/>
                <w:szCs w:val="22"/>
              </w:rPr>
              <w:t>19.5%</w:t>
            </w:r>
          </w:p>
        </w:tc>
        <w:tc>
          <w:tcPr>
            <w:tcW w:w="2269" w:type="dxa"/>
            <w:gridSpan w:val="3"/>
            <w:tcBorders>
              <w:top w:val="nil"/>
              <w:left w:val="nil"/>
              <w:bottom w:val="nil"/>
              <w:right w:val="nil"/>
            </w:tcBorders>
            <w:shd w:val="clear" w:color="auto" w:fill="auto"/>
            <w:noWrap/>
            <w:vAlign w:val="bottom"/>
            <w:hideMark/>
          </w:tcPr>
          <w:p w14:paraId="2AF9428B" w14:textId="77777777" w:rsidR="0013326E" w:rsidRDefault="0013326E">
            <w:pPr>
              <w:jc w:val="right"/>
              <w:rPr>
                <w:rFonts w:ascii="Calibri" w:hAnsi="Calibri" w:cs="Calibri"/>
                <w:sz w:val="22"/>
                <w:szCs w:val="22"/>
              </w:rPr>
            </w:pPr>
            <w:r>
              <w:rPr>
                <w:rFonts w:ascii="Calibri" w:hAnsi="Calibri" w:cs="Calibri"/>
                <w:sz w:val="22"/>
                <w:szCs w:val="22"/>
              </w:rPr>
              <w:t>68.1%</w:t>
            </w:r>
          </w:p>
        </w:tc>
      </w:tr>
      <w:tr w:rsidR="0013326E" w14:paraId="0FACBC98" w14:textId="77777777" w:rsidTr="0013326E">
        <w:trPr>
          <w:trHeight w:val="264"/>
        </w:trPr>
        <w:tc>
          <w:tcPr>
            <w:tcW w:w="874" w:type="dxa"/>
            <w:tcBorders>
              <w:top w:val="nil"/>
              <w:left w:val="nil"/>
              <w:bottom w:val="nil"/>
              <w:right w:val="nil"/>
            </w:tcBorders>
            <w:shd w:val="clear" w:color="auto" w:fill="auto"/>
            <w:noWrap/>
            <w:vAlign w:val="bottom"/>
            <w:hideMark/>
          </w:tcPr>
          <w:p w14:paraId="7365AD47" w14:textId="77777777" w:rsidR="0013326E" w:rsidRDefault="0013326E">
            <w:pPr>
              <w:rPr>
                <w:rFonts w:ascii="Calibri" w:hAnsi="Calibri" w:cs="Calibri"/>
                <w:sz w:val="22"/>
                <w:szCs w:val="22"/>
              </w:rPr>
            </w:pPr>
            <w:r>
              <w:rPr>
                <w:rFonts w:ascii="Calibri" w:hAnsi="Calibri" w:cs="Calibri"/>
                <w:sz w:val="22"/>
                <w:szCs w:val="22"/>
              </w:rPr>
              <w:t>3</w:t>
            </w:r>
          </w:p>
        </w:tc>
        <w:tc>
          <w:tcPr>
            <w:tcW w:w="1252" w:type="dxa"/>
            <w:gridSpan w:val="2"/>
            <w:tcBorders>
              <w:top w:val="nil"/>
              <w:left w:val="nil"/>
              <w:bottom w:val="nil"/>
              <w:right w:val="nil"/>
            </w:tcBorders>
            <w:shd w:val="clear" w:color="auto" w:fill="auto"/>
            <w:noWrap/>
            <w:vAlign w:val="bottom"/>
            <w:hideMark/>
          </w:tcPr>
          <w:p w14:paraId="1EB5834B" w14:textId="77777777" w:rsidR="0013326E" w:rsidRDefault="0013326E">
            <w:pPr>
              <w:jc w:val="right"/>
              <w:rPr>
                <w:rFonts w:ascii="Calibri" w:hAnsi="Calibri" w:cs="Calibri"/>
                <w:sz w:val="22"/>
                <w:szCs w:val="22"/>
              </w:rPr>
            </w:pPr>
            <w:r>
              <w:rPr>
                <w:rFonts w:ascii="Calibri" w:hAnsi="Calibri" w:cs="Calibri"/>
                <w:sz w:val="22"/>
                <w:szCs w:val="22"/>
              </w:rPr>
              <w:t>784671</w:t>
            </w:r>
          </w:p>
        </w:tc>
        <w:tc>
          <w:tcPr>
            <w:tcW w:w="1115" w:type="dxa"/>
            <w:gridSpan w:val="2"/>
            <w:tcBorders>
              <w:top w:val="nil"/>
              <w:left w:val="nil"/>
              <w:bottom w:val="nil"/>
              <w:right w:val="nil"/>
            </w:tcBorders>
            <w:shd w:val="clear" w:color="auto" w:fill="auto"/>
            <w:noWrap/>
            <w:vAlign w:val="bottom"/>
            <w:hideMark/>
          </w:tcPr>
          <w:p w14:paraId="347A8985" w14:textId="77777777" w:rsidR="0013326E" w:rsidRDefault="0013326E">
            <w:pPr>
              <w:jc w:val="right"/>
              <w:rPr>
                <w:rFonts w:ascii="Calibri" w:hAnsi="Calibri" w:cs="Calibri"/>
                <w:sz w:val="22"/>
                <w:szCs w:val="22"/>
              </w:rPr>
            </w:pPr>
            <w:r>
              <w:rPr>
                <w:rFonts w:ascii="Calibri" w:hAnsi="Calibri" w:cs="Calibri"/>
                <w:sz w:val="22"/>
                <w:szCs w:val="22"/>
              </w:rPr>
              <w:t>-1</w:t>
            </w:r>
          </w:p>
        </w:tc>
        <w:tc>
          <w:tcPr>
            <w:tcW w:w="1350" w:type="dxa"/>
            <w:gridSpan w:val="2"/>
            <w:tcBorders>
              <w:top w:val="nil"/>
              <w:left w:val="nil"/>
              <w:bottom w:val="nil"/>
              <w:right w:val="nil"/>
            </w:tcBorders>
            <w:shd w:val="clear" w:color="auto" w:fill="auto"/>
            <w:noWrap/>
            <w:vAlign w:val="bottom"/>
            <w:hideMark/>
          </w:tcPr>
          <w:p w14:paraId="5BFA92C6" w14:textId="77777777" w:rsidR="0013326E" w:rsidRDefault="0013326E">
            <w:pPr>
              <w:jc w:val="right"/>
              <w:rPr>
                <w:rFonts w:ascii="Calibri" w:hAnsi="Calibri" w:cs="Calibri"/>
                <w:sz w:val="22"/>
                <w:szCs w:val="22"/>
              </w:rPr>
            </w:pPr>
            <w:r>
              <w:rPr>
                <w:rFonts w:ascii="Calibri" w:hAnsi="Calibri" w:cs="Calibri"/>
                <w:sz w:val="22"/>
                <w:szCs w:val="22"/>
              </w:rPr>
              <w:t>-0.000001</w:t>
            </w:r>
          </w:p>
        </w:tc>
        <w:tc>
          <w:tcPr>
            <w:tcW w:w="2171" w:type="dxa"/>
            <w:gridSpan w:val="3"/>
            <w:tcBorders>
              <w:top w:val="nil"/>
              <w:left w:val="nil"/>
              <w:bottom w:val="nil"/>
              <w:right w:val="nil"/>
            </w:tcBorders>
            <w:shd w:val="clear" w:color="auto" w:fill="auto"/>
            <w:noWrap/>
            <w:vAlign w:val="bottom"/>
            <w:hideMark/>
          </w:tcPr>
          <w:p w14:paraId="36DD9F81" w14:textId="77777777" w:rsidR="0013326E" w:rsidRDefault="0013326E">
            <w:pPr>
              <w:jc w:val="right"/>
              <w:rPr>
                <w:rFonts w:ascii="Calibri" w:hAnsi="Calibri" w:cs="Calibri"/>
                <w:sz w:val="22"/>
                <w:szCs w:val="22"/>
              </w:rPr>
            </w:pPr>
            <w:r>
              <w:rPr>
                <w:rFonts w:ascii="Calibri" w:hAnsi="Calibri" w:cs="Calibri"/>
                <w:sz w:val="22"/>
                <w:szCs w:val="22"/>
              </w:rPr>
              <w:t>45.3%</w:t>
            </w:r>
          </w:p>
        </w:tc>
        <w:tc>
          <w:tcPr>
            <w:tcW w:w="2269" w:type="dxa"/>
            <w:gridSpan w:val="3"/>
            <w:tcBorders>
              <w:top w:val="nil"/>
              <w:left w:val="nil"/>
              <w:bottom w:val="nil"/>
              <w:right w:val="nil"/>
            </w:tcBorders>
            <w:shd w:val="clear" w:color="auto" w:fill="auto"/>
            <w:noWrap/>
            <w:vAlign w:val="bottom"/>
            <w:hideMark/>
          </w:tcPr>
          <w:p w14:paraId="6F3CEF14" w14:textId="77777777" w:rsidR="0013326E" w:rsidRDefault="0013326E">
            <w:pPr>
              <w:jc w:val="right"/>
              <w:rPr>
                <w:rFonts w:ascii="Calibri" w:hAnsi="Calibri" w:cs="Calibri"/>
                <w:sz w:val="22"/>
                <w:szCs w:val="22"/>
              </w:rPr>
            </w:pPr>
            <w:r>
              <w:rPr>
                <w:rFonts w:ascii="Calibri" w:hAnsi="Calibri" w:cs="Calibri"/>
                <w:sz w:val="22"/>
                <w:szCs w:val="22"/>
              </w:rPr>
              <w:t>45.9%</w:t>
            </w:r>
          </w:p>
        </w:tc>
      </w:tr>
      <w:tr w:rsidR="0013326E" w14:paraId="33127E61" w14:textId="77777777" w:rsidTr="0013326E">
        <w:trPr>
          <w:trHeight w:val="264"/>
        </w:trPr>
        <w:tc>
          <w:tcPr>
            <w:tcW w:w="874" w:type="dxa"/>
            <w:tcBorders>
              <w:top w:val="nil"/>
              <w:left w:val="nil"/>
              <w:bottom w:val="nil"/>
              <w:right w:val="nil"/>
            </w:tcBorders>
            <w:shd w:val="clear" w:color="auto" w:fill="auto"/>
            <w:noWrap/>
            <w:vAlign w:val="bottom"/>
            <w:hideMark/>
          </w:tcPr>
          <w:p w14:paraId="70CBBD1A" w14:textId="77777777" w:rsidR="0013326E" w:rsidRDefault="0013326E">
            <w:pPr>
              <w:rPr>
                <w:rFonts w:ascii="Calibri" w:hAnsi="Calibri" w:cs="Calibri"/>
                <w:sz w:val="22"/>
                <w:szCs w:val="22"/>
              </w:rPr>
            </w:pPr>
            <w:r>
              <w:rPr>
                <w:rFonts w:ascii="Calibri" w:hAnsi="Calibri" w:cs="Calibri"/>
                <w:sz w:val="22"/>
                <w:szCs w:val="22"/>
              </w:rPr>
              <w:t>4</w:t>
            </w:r>
          </w:p>
        </w:tc>
        <w:tc>
          <w:tcPr>
            <w:tcW w:w="1252" w:type="dxa"/>
            <w:gridSpan w:val="2"/>
            <w:tcBorders>
              <w:top w:val="nil"/>
              <w:left w:val="nil"/>
              <w:bottom w:val="nil"/>
              <w:right w:val="nil"/>
            </w:tcBorders>
            <w:shd w:val="clear" w:color="auto" w:fill="auto"/>
            <w:noWrap/>
            <w:vAlign w:val="bottom"/>
            <w:hideMark/>
          </w:tcPr>
          <w:p w14:paraId="53227CE4" w14:textId="77777777" w:rsidR="0013326E" w:rsidRDefault="0013326E">
            <w:pPr>
              <w:jc w:val="right"/>
              <w:rPr>
                <w:rFonts w:ascii="Calibri" w:hAnsi="Calibri" w:cs="Calibri"/>
                <w:sz w:val="22"/>
                <w:szCs w:val="22"/>
              </w:rPr>
            </w:pPr>
            <w:r>
              <w:rPr>
                <w:rFonts w:ascii="Calibri" w:hAnsi="Calibri" w:cs="Calibri"/>
                <w:sz w:val="22"/>
                <w:szCs w:val="22"/>
              </w:rPr>
              <w:t>784671</w:t>
            </w:r>
          </w:p>
        </w:tc>
        <w:tc>
          <w:tcPr>
            <w:tcW w:w="1115" w:type="dxa"/>
            <w:gridSpan w:val="2"/>
            <w:tcBorders>
              <w:top w:val="nil"/>
              <w:left w:val="nil"/>
              <w:bottom w:val="nil"/>
              <w:right w:val="nil"/>
            </w:tcBorders>
            <w:shd w:val="clear" w:color="auto" w:fill="auto"/>
            <w:noWrap/>
            <w:vAlign w:val="bottom"/>
            <w:hideMark/>
          </w:tcPr>
          <w:p w14:paraId="6D1E06C6" w14:textId="77777777" w:rsidR="0013326E" w:rsidRDefault="0013326E">
            <w:pPr>
              <w:jc w:val="right"/>
              <w:rPr>
                <w:rFonts w:ascii="Calibri" w:hAnsi="Calibri" w:cs="Calibri"/>
                <w:sz w:val="22"/>
                <w:szCs w:val="22"/>
              </w:rPr>
            </w:pPr>
            <w:r>
              <w:rPr>
                <w:rFonts w:ascii="Calibri" w:hAnsi="Calibri" w:cs="Calibri"/>
                <w:sz w:val="22"/>
                <w:szCs w:val="22"/>
              </w:rPr>
              <w:t>-1</w:t>
            </w:r>
          </w:p>
        </w:tc>
        <w:tc>
          <w:tcPr>
            <w:tcW w:w="1350" w:type="dxa"/>
            <w:gridSpan w:val="2"/>
            <w:tcBorders>
              <w:top w:val="nil"/>
              <w:left w:val="nil"/>
              <w:bottom w:val="nil"/>
              <w:right w:val="nil"/>
            </w:tcBorders>
            <w:shd w:val="clear" w:color="auto" w:fill="auto"/>
            <w:noWrap/>
            <w:vAlign w:val="bottom"/>
            <w:hideMark/>
          </w:tcPr>
          <w:p w14:paraId="33F6D2DD" w14:textId="77777777" w:rsidR="0013326E" w:rsidRDefault="0013326E">
            <w:pPr>
              <w:jc w:val="right"/>
              <w:rPr>
                <w:rFonts w:ascii="Calibri" w:hAnsi="Calibri" w:cs="Calibri"/>
                <w:sz w:val="22"/>
                <w:szCs w:val="22"/>
              </w:rPr>
            </w:pPr>
            <w:r>
              <w:rPr>
                <w:rFonts w:ascii="Calibri" w:hAnsi="Calibri" w:cs="Calibri"/>
                <w:sz w:val="22"/>
                <w:szCs w:val="22"/>
              </w:rPr>
              <w:t>-0.000001</w:t>
            </w:r>
          </w:p>
        </w:tc>
        <w:tc>
          <w:tcPr>
            <w:tcW w:w="2171" w:type="dxa"/>
            <w:gridSpan w:val="3"/>
            <w:tcBorders>
              <w:top w:val="nil"/>
              <w:left w:val="nil"/>
              <w:bottom w:val="nil"/>
              <w:right w:val="nil"/>
            </w:tcBorders>
            <w:shd w:val="clear" w:color="auto" w:fill="auto"/>
            <w:noWrap/>
            <w:vAlign w:val="bottom"/>
            <w:hideMark/>
          </w:tcPr>
          <w:p w14:paraId="1F0448B8" w14:textId="77777777" w:rsidR="0013326E" w:rsidRDefault="0013326E">
            <w:pPr>
              <w:jc w:val="right"/>
              <w:rPr>
                <w:rFonts w:ascii="Calibri" w:hAnsi="Calibri" w:cs="Calibri"/>
                <w:sz w:val="22"/>
                <w:szCs w:val="22"/>
              </w:rPr>
            </w:pPr>
            <w:r>
              <w:rPr>
                <w:rFonts w:ascii="Calibri" w:hAnsi="Calibri" w:cs="Calibri"/>
                <w:sz w:val="22"/>
                <w:szCs w:val="22"/>
              </w:rPr>
              <w:t>41.3%</w:t>
            </w:r>
          </w:p>
        </w:tc>
        <w:tc>
          <w:tcPr>
            <w:tcW w:w="2269" w:type="dxa"/>
            <w:gridSpan w:val="3"/>
            <w:tcBorders>
              <w:top w:val="nil"/>
              <w:left w:val="nil"/>
              <w:bottom w:val="nil"/>
              <w:right w:val="nil"/>
            </w:tcBorders>
            <w:shd w:val="clear" w:color="auto" w:fill="auto"/>
            <w:noWrap/>
            <w:vAlign w:val="bottom"/>
            <w:hideMark/>
          </w:tcPr>
          <w:p w14:paraId="02668BEC" w14:textId="77777777" w:rsidR="0013326E" w:rsidRDefault="0013326E">
            <w:pPr>
              <w:jc w:val="right"/>
              <w:rPr>
                <w:rFonts w:ascii="Calibri" w:hAnsi="Calibri" w:cs="Calibri"/>
                <w:sz w:val="22"/>
                <w:szCs w:val="22"/>
              </w:rPr>
            </w:pPr>
            <w:r>
              <w:rPr>
                <w:rFonts w:ascii="Calibri" w:hAnsi="Calibri" w:cs="Calibri"/>
                <w:sz w:val="22"/>
                <w:szCs w:val="22"/>
              </w:rPr>
              <w:t>52.1%</w:t>
            </w:r>
          </w:p>
        </w:tc>
      </w:tr>
      <w:tr w:rsidR="0013326E" w14:paraId="1006246B" w14:textId="77777777" w:rsidTr="0013326E">
        <w:trPr>
          <w:trHeight w:val="264"/>
        </w:trPr>
        <w:tc>
          <w:tcPr>
            <w:tcW w:w="874" w:type="dxa"/>
            <w:tcBorders>
              <w:top w:val="nil"/>
              <w:left w:val="nil"/>
              <w:bottom w:val="nil"/>
              <w:right w:val="nil"/>
            </w:tcBorders>
            <w:shd w:val="clear" w:color="auto" w:fill="auto"/>
            <w:noWrap/>
            <w:vAlign w:val="bottom"/>
            <w:hideMark/>
          </w:tcPr>
          <w:p w14:paraId="67871812" w14:textId="77777777" w:rsidR="0013326E" w:rsidRDefault="0013326E">
            <w:pPr>
              <w:rPr>
                <w:rFonts w:ascii="Calibri" w:hAnsi="Calibri" w:cs="Calibri"/>
                <w:sz w:val="22"/>
                <w:szCs w:val="22"/>
              </w:rPr>
            </w:pPr>
            <w:r>
              <w:rPr>
                <w:rFonts w:ascii="Calibri" w:hAnsi="Calibri" w:cs="Calibri"/>
                <w:sz w:val="22"/>
                <w:szCs w:val="22"/>
              </w:rPr>
              <w:t>5</w:t>
            </w:r>
          </w:p>
        </w:tc>
        <w:tc>
          <w:tcPr>
            <w:tcW w:w="1252" w:type="dxa"/>
            <w:gridSpan w:val="2"/>
            <w:tcBorders>
              <w:top w:val="nil"/>
              <w:left w:val="nil"/>
              <w:bottom w:val="nil"/>
              <w:right w:val="nil"/>
            </w:tcBorders>
            <w:shd w:val="clear" w:color="auto" w:fill="auto"/>
            <w:noWrap/>
            <w:vAlign w:val="bottom"/>
            <w:hideMark/>
          </w:tcPr>
          <w:p w14:paraId="44B34A4C" w14:textId="77777777" w:rsidR="0013326E" w:rsidRDefault="0013326E">
            <w:pPr>
              <w:jc w:val="right"/>
              <w:rPr>
                <w:rFonts w:ascii="Calibri" w:hAnsi="Calibri" w:cs="Calibri"/>
                <w:sz w:val="22"/>
                <w:szCs w:val="22"/>
              </w:rPr>
            </w:pPr>
            <w:r>
              <w:rPr>
                <w:rFonts w:ascii="Calibri" w:hAnsi="Calibri" w:cs="Calibri"/>
                <w:sz w:val="22"/>
                <w:szCs w:val="22"/>
              </w:rPr>
              <w:t>784673</w:t>
            </w:r>
          </w:p>
        </w:tc>
        <w:tc>
          <w:tcPr>
            <w:tcW w:w="1115" w:type="dxa"/>
            <w:gridSpan w:val="2"/>
            <w:tcBorders>
              <w:top w:val="nil"/>
              <w:left w:val="nil"/>
              <w:bottom w:val="nil"/>
              <w:right w:val="nil"/>
            </w:tcBorders>
            <w:shd w:val="clear" w:color="auto" w:fill="auto"/>
            <w:noWrap/>
            <w:vAlign w:val="bottom"/>
            <w:hideMark/>
          </w:tcPr>
          <w:p w14:paraId="2D3624B2" w14:textId="77777777" w:rsidR="0013326E" w:rsidRDefault="0013326E">
            <w:pPr>
              <w:jc w:val="right"/>
              <w:rPr>
                <w:rFonts w:ascii="Calibri" w:hAnsi="Calibri" w:cs="Calibri"/>
                <w:sz w:val="22"/>
                <w:szCs w:val="22"/>
              </w:rPr>
            </w:pPr>
            <w:r>
              <w:rPr>
                <w:rFonts w:ascii="Calibri" w:hAnsi="Calibri" w:cs="Calibri"/>
                <w:sz w:val="22"/>
                <w:szCs w:val="22"/>
              </w:rPr>
              <w:t>1</w:t>
            </w:r>
          </w:p>
        </w:tc>
        <w:tc>
          <w:tcPr>
            <w:tcW w:w="1350" w:type="dxa"/>
            <w:gridSpan w:val="2"/>
            <w:tcBorders>
              <w:top w:val="nil"/>
              <w:left w:val="nil"/>
              <w:bottom w:val="nil"/>
              <w:right w:val="nil"/>
            </w:tcBorders>
            <w:shd w:val="clear" w:color="auto" w:fill="auto"/>
            <w:noWrap/>
            <w:vAlign w:val="bottom"/>
            <w:hideMark/>
          </w:tcPr>
          <w:p w14:paraId="112A8766" w14:textId="77777777" w:rsidR="0013326E" w:rsidRDefault="0013326E">
            <w:pPr>
              <w:jc w:val="right"/>
              <w:rPr>
                <w:rFonts w:ascii="Calibri" w:hAnsi="Calibri" w:cs="Calibri"/>
                <w:sz w:val="22"/>
                <w:szCs w:val="22"/>
              </w:rPr>
            </w:pPr>
            <w:r>
              <w:rPr>
                <w:rFonts w:ascii="Calibri" w:hAnsi="Calibri" w:cs="Calibri"/>
                <w:sz w:val="22"/>
                <w:szCs w:val="22"/>
              </w:rPr>
              <w:t>0.000001</w:t>
            </w:r>
          </w:p>
        </w:tc>
        <w:tc>
          <w:tcPr>
            <w:tcW w:w="2171" w:type="dxa"/>
            <w:gridSpan w:val="3"/>
            <w:tcBorders>
              <w:top w:val="nil"/>
              <w:left w:val="nil"/>
              <w:bottom w:val="nil"/>
              <w:right w:val="nil"/>
            </w:tcBorders>
            <w:shd w:val="clear" w:color="auto" w:fill="auto"/>
            <w:noWrap/>
            <w:vAlign w:val="bottom"/>
            <w:hideMark/>
          </w:tcPr>
          <w:p w14:paraId="27991984" w14:textId="77777777" w:rsidR="0013326E" w:rsidRDefault="0013326E">
            <w:pPr>
              <w:jc w:val="right"/>
              <w:rPr>
                <w:rFonts w:ascii="Calibri" w:hAnsi="Calibri" w:cs="Calibri"/>
                <w:sz w:val="22"/>
                <w:szCs w:val="22"/>
              </w:rPr>
            </w:pPr>
            <w:r>
              <w:rPr>
                <w:rFonts w:ascii="Calibri" w:hAnsi="Calibri" w:cs="Calibri"/>
                <w:sz w:val="22"/>
                <w:szCs w:val="22"/>
              </w:rPr>
              <w:t>26.0%</w:t>
            </w:r>
          </w:p>
        </w:tc>
        <w:tc>
          <w:tcPr>
            <w:tcW w:w="2269" w:type="dxa"/>
            <w:gridSpan w:val="3"/>
            <w:tcBorders>
              <w:top w:val="nil"/>
              <w:left w:val="nil"/>
              <w:bottom w:val="nil"/>
              <w:right w:val="nil"/>
            </w:tcBorders>
            <w:shd w:val="clear" w:color="auto" w:fill="auto"/>
            <w:noWrap/>
            <w:vAlign w:val="bottom"/>
            <w:hideMark/>
          </w:tcPr>
          <w:p w14:paraId="37749F0A" w14:textId="77777777" w:rsidR="0013326E" w:rsidRDefault="0013326E">
            <w:pPr>
              <w:jc w:val="right"/>
              <w:rPr>
                <w:rFonts w:ascii="Calibri" w:hAnsi="Calibri" w:cs="Calibri"/>
                <w:sz w:val="22"/>
                <w:szCs w:val="22"/>
              </w:rPr>
            </w:pPr>
            <w:r>
              <w:rPr>
                <w:rFonts w:ascii="Calibri" w:hAnsi="Calibri" w:cs="Calibri"/>
                <w:sz w:val="22"/>
                <w:szCs w:val="22"/>
              </w:rPr>
              <w:t>69.2%</w:t>
            </w:r>
          </w:p>
        </w:tc>
      </w:tr>
      <w:tr w:rsidR="0013326E" w14:paraId="2D7DDE13" w14:textId="77777777" w:rsidTr="0013326E">
        <w:trPr>
          <w:trHeight w:val="264"/>
        </w:trPr>
        <w:tc>
          <w:tcPr>
            <w:tcW w:w="874" w:type="dxa"/>
            <w:tcBorders>
              <w:top w:val="nil"/>
              <w:left w:val="nil"/>
              <w:bottom w:val="nil"/>
              <w:right w:val="nil"/>
            </w:tcBorders>
            <w:shd w:val="clear" w:color="auto" w:fill="auto"/>
            <w:noWrap/>
            <w:vAlign w:val="bottom"/>
            <w:hideMark/>
          </w:tcPr>
          <w:p w14:paraId="56AFD1EB" w14:textId="77777777" w:rsidR="0013326E" w:rsidRDefault="0013326E">
            <w:pPr>
              <w:rPr>
                <w:rFonts w:ascii="Calibri" w:hAnsi="Calibri" w:cs="Calibri"/>
                <w:sz w:val="22"/>
                <w:szCs w:val="22"/>
              </w:rPr>
            </w:pPr>
            <w:r>
              <w:rPr>
                <w:rFonts w:ascii="Calibri" w:hAnsi="Calibri" w:cs="Calibri"/>
                <w:sz w:val="22"/>
                <w:szCs w:val="22"/>
              </w:rPr>
              <w:t>6</w:t>
            </w:r>
          </w:p>
        </w:tc>
        <w:tc>
          <w:tcPr>
            <w:tcW w:w="1252" w:type="dxa"/>
            <w:gridSpan w:val="2"/>
            <w:tcBorders>
              <w:top w:val="nil"/>
              <w:left w:val="nil"/>
              <w:bottom w:val="nil"/>
              <w:right w:val="nil"/>
            </w:tcBorders>
            <w:shd w:val="clear" w:color="auto" w:fill="auto"/>
            <w:noWrap/>
            <w:vAlign w:val="bottom"/>
            <w:hideMark/>
          </w:tcPr>
          <w:p w14:paraId="3215154A" w14:textId="77777777" w:rsidR="0013326E" w:rsidRDefault="0013326E">
            <w:pPr>
              <w:jc w:val="right"/>
              <w:rPr>
                <w:rFonts w:ascii="Calibri" w:hAnsi="Calibri" w:cs="Calibri"/>
                <w:sz w:val="22"/>
                <w:szCs w:val="22"/>
              </w:rPr>
            </w:pPr>
            <w:r>
              <w:rPr>
                <w:rFonts w:ascii="Calibri" w:hAnsi="Calibri" w:cs="Calibri"/>
                <w:sz w:val="22"/>
                <w:szCs w:val="22"/>
              </w:rPr>
              <w:t>784673</w:t>
            </w:r>
          </w:p>
        </w:tc>
        <w:tc>
          <w:tcPr>
            <w:tcW w:w="1115" w:type="dxa"/>
            <w:gridSpan w:val="2"/>
            <w:tcBorders>
              <w:top w:val="nil"/>
              <w:left w:val="nil"/>
              <w:bottom w:val="nil"/>
              <w:right w:val="nil"/>
            </w:tcBorders>
            <w:shd w:val="clear" w:color="auto" w:fill="auto"/>
            <w:noWrap/>
            <w:vAlign w:val="bottom"/>
            <w:hideMark/>
          </w:tcPr>
          <w:p w14:paraId="6DDE8774" w14:textId="77777777" w:rsidR="0013326E" w:rsidRDefault="0013326E">
            <w:pPr>
              <w:jc w:val="right"/>
              <w:rPr>
                <w:rFonts w:ascii="Calibri" w:hAnsi="Calibri" w:cs="Calibri"/>
                <w:sz w:val="22"/>
                <w:szCs w:val="22"/>
              </w:rPr>
            </w:pPr>
            <w:r>
              <w:rPr>
                <w:rFonts w:ascii="Calibri" w:hAnsi="Calibri" w:cs="Calibri"/>
                <w:sz w:val="22"/>
                <w:szCs w:val="22"/>
              </w:rPr>
              <w:t>1</w:t>
            </w:r>
          </w:p>
        </w:tc>
        <w:tc>
          <w:tcPr>
            <w:tcW w:w="1350" w:type="dxa"/>
            <w:gridSpan w:val="2"/>
            <w:tcBorders>
              <w:top w:val="nil"/>
              <w:left w:val="nil"/>
              <w:bottom w:val="nil"/>
              <w:right w:val="nil"/>
            </w:tcBorders>
            <w:shd w:val="clear" w:color="auto" w:fill="auto"/>
            <w:noWrap/>
            <w:vAlign w:val="bottom"/>
            <w:hideMark/>
          </w:tcPr>
          <w:p w14:paraId="0CFF699A" w14:textId="77777777" w:rsidR="0013326E" w:rsidRDefault="0013326E">
            <w:pPr>
              <w:jc w:val="right"/>
              <w:rPr>
                <w:rFonts w:ascii="Calibri" w:hAnsi="Calibri" w:cs="Calibri"/>
                <w:sz w:val="22"/>
                <w:szCs w:val="22"/>
              </w:rPr>
            </w:pPr>
            <w:r>
              <w:rPr>
                <w:rFonts w:ascii="Calibri" w:hAnsi="Calibri" w:cs="Calibri"/>
                <w:sz w:val="22"/>
                <w:szCs w:val="22"/>
              </w:rPr>
              <w:t>0.000001</w:t>
            </w:r>
          </w:p>
        </w:tc>
        <w:tc>
          <w:tcPr>
            <w:tcW w:w="2171" w:type="dxa"/>
            <w:gridSpan w:val="3"/>
            <w:tcBorders>
              <w:top w:val="nil"/>
              <w:left w:val="nil"/>
              <w:bottom w:val="nil"/>
              <w:right w:val="nil"/>
            </w:tcBorders>
            <w:shd w:val="clear" w:color="auto" w:fill="auto"/>
            <w:noWrap/>
            <w:vAlign w:val="bottom"/>
            <w:hideMark/>
          </w:tcPr>
          <w:p w14:paraId="3D82E12F" w14:textId="77777777" w:rsidR="0013326E" w:rsidRDefault="0013326E">
            <w:pPr>
              <w:jc w:val="right"/>
              <w:rPr>
                <w:rFonts w:ascii="Calibri" w:hAnsi="Calibri" w:cs="Calibri"/>
                <w:sz w:val="22"/>
                <w:szCs w:val="22"/>
              </w:rPr>
            </w:pPr>
            <w:r>
              <w:rPr>
                <w:rFonts w:ascii="Calibri" w:hAnsi="Calibri" w:cs="Calibri"/>
                <w:sz w:val="22"/>
                <w:szCs w:val="22"/>
              </w:rPr>
              <w:t>10.5%</w:t>
            </w:r>
          </w:p>
        </w:tc>
        <w:tc>
          <w:tcPr>
            <w:tcW w:w="2269" w:type="dxa"/>
            <w:gridSpan w:val="3"/>
            <w:tcBorders>
              <w:top w:val="nil"/>
              <w:left w:val="nil"/>
              <w:bottom w:val="nil"/>
              <w:right w:val="nil"/>
            </w:tcBorders>
            <w:shd w:val="clear" w:color="auto" w:fill="auto"/>
            <w:noWrap/>
            <w:vAlign w:val="bottom"/>
            <w:hideMark/>
          </w:tcPr>
          <w:p w14:paraId="6105904E" w14:textId="77777777" w:rsidR="0013326E" w:rsidRDefault="0013326E">
            <w:pPr>
              <w:jc w:val="right"/>
              <w:rPr>
                <w:rFonts w:ascii="Calibri" w:hAnsi="Calibri" w:cs="Calibri"/>
                <w:sz w:val="22"/>
                <w:szCs w:val="22"/>
              </w:rPr>
            </w:pPr>
            <w:r>
              <w:rPr>
                <w:rFonts w:ascii="Calibri" w:hAnsi="Calibri" w:cs="Calibri"/>
                <w:sz w:val="22"/>
                <w:szCs w:val="22"/>
              </w:rPr>
              <w:t>84.1%</w:t>
            </w:r>
          </w:p>
        </w:tc>
      </w:tr>
      <w:tr w:rsidR="0013326E" w14:paraId="76461618" w14:textId="77777777" w:rsidTr="0013326E">
        <w:trPr>
          <w:trHeight w:val="264"/>
        </w:trPr>
        <w:tc>
          <w:tcPr>
            <w:tcW w:w="874" w:type="dxa"/>
            <w:tcBorders>
              <w:top w:val="nil"/>
              <w:left w:val="nil"/>
              <w:bottom w:val="nil"/>
              <w:right w:val="nil"/>
            </w:tcBorders>
            <w:shd w:val="clear" w:color="auto" w:fill="auto"/>
            <w:noWrap/>
            <w:vAlign w:val="bottom"/>
            <w:hideMark/>
          </w:tcPr>
          <w:p w14:paraId="50BD3B4B" w14:textId="77777777" w:rsidR="0013326E" w:rsidRDefault="0013326E">
            <w:pPr>
              <w:rPr>
                <w:rFonts w:ascii="Calibri" w:hAnsi="Calibri" w:cs="Calibri"/>
                <w:sz w:val="22"/>
                <w:szCs w:val="22"/>
              </w:rPr>
            </w:pPr>
            <w:r>
              <w:rPr>
                <w:rFonts w:ascii="Calibri" w:hAnsi="Calibri" w:cs="Calibri"/>
                <w:sz w:val="22"/>
                <w:szCs w:val="22"/>
              </w:rPr>
              <w:t>7</w:t>
            </w:r>
          </w:p>
        </w:tc>
        <w:tc>
          <w:tcPr>
            <w:tcW w:w="1252" w:type="dxa"/>
            <w:gridSpan w:val="2"/>
            <w:tcBorders>
              <w:top w:val="nil"/>
              <w:left w:val="nil"/>
              <w:bottom w:val="nil"/>
              <w:right w:val="nil"/>
            </w:tcBorders>
            <w:shd w:val="clear" w:color="auto" w:fill="auto"/>
            <w:noWrap/>
            <w:vAlign w:val="bottom"/>
            <w:hideMark/>
          </w:tcPr>
          <w:p w14:paraId="06989586" w14:textId="77777777" w:rsidR="0013326E" w:rsidRDefault="0013326E">
            <w:pPr>
              <w:jc w:val="right"/>
              <w:rPr>
                <w:rFonts w:ascii="Calibri" w:hAnsi="Calibri" w:cs="Calibri"/>
                <w:sz w:val="22"/>
                <w:szCs w:val="22"/>
              </w:rPr>
            </w:pPr>
            <w:r>
              <w:rPr>
                <w:rFonts w:ascii="Calibri" w:hAnsi="Calibri" w:cs="Calibri"/>
                <w:sz w:val="22"/>
                <w:szCs w:val="22"/>
              </w:rPr>
              <w:t>784673</w:t>
            </w:r>
          </w:p>
        </w:tc>
        <w:tc>
          <w:tcPr>
            <w:tcW w:w="1115" w:type="dxa"/>
            <w:gridSpan w:val="2"/>
            <w:tcBorders>
              <w:top w:val="nil"/>
              <w:left w:val="nil"/>
              <w:bottom w:val="nil"/>
              <w:right w:val="nil"/>
            </w:tcBorders>
            <w:shd w:val="clear" w:color="auto" w:fill="auto"/>
            <w:noWrap/>
            <w:vAlign w:val="bottom"/>
            <w:hideMark/>
          </w:tcPr>
          <w:p w14:paraId="26ACF106" w14:textId="77777777" w:rsidR="0013326E" w:rsidRDefault="0013326E">
            <w:pPr>
              <w:jc w:val="right"/>
              <w:rPr>
                <w:rFonts w:ascii="Calibri" w:hAnsi="Calibri" w:cs="Calibri"/>
                <w:sz w:val="22"/>
                <w:szCs w:val="22"/>
              </w:rPr>
            </w:pPr>
            <w:r>
              <w:rPr>
                <w:rFonts w:ascii="Calibri" w:hAnsi="Calibri" w:cs="Calibri"/>
                <w:sz w:val="22"/>
                <w:szCs w:val="22"/>
              </w:rPr>
              <w:t>1</w:t>
            </w:r>
          </w:p>
        </w:tc>
        <w:tc>
          <w:tcPr>
            <w:tcW w:w="1350" w:type="dxa"/>
            <w:gridSpan w:val="2"/>
            <w:tcBorders>
              <w:top w:val="nil"/>
              <w:left w:val="nil"/>
              <w:bottom w:val="nil"/>
              <w:right w:val="nil"/>
            </w:tcBorders>
            <w:shd w:val="clear" w:color="auto" w:fill="auto"/>
            <w:noWrap/>
            <w:vAlign w:val="bottom"/>
            <w:hideMark/>
          </w:tcPr>
          <w:p w14:paraId="53A7479F" w14:textId="77777777" w:rsidR="0013326E" w:rsidRDefault="0013326E">
            <w:pPr>
              <w:jc w:val="right"/>
              <w:rPr>
                <w:rFonts w:ascii="Calibri" w:hAnsi="Calibri" w:cs="Calibri"/>
                <w:sz w:val="22"/>
                <w:szCs w:val="22"/>
              </w:rPr>
            </w:pPr>
            <w:r>
              <w:rPr>
                <w:rFonts w:ascii="Calibri" w:hAnsi="Calibri" w:cs="Calibri"/>
                <w:sz w:val="22"/>
                <w:szCs w:val="22"/>
              </w:rPr>
              <w:t>0.000001</w:t>
            </w:r>
          </w:p>
        </w:tc>
        <w:tc>
          <w:tcPr>
            <w:tcW w:w="2171" w:type="dxa"/>
            <w:gridSpan w:val="3"/>
            <w:tcBorders>
              <w:top w:val="nil"/>
              <w:left w:val="nil"/>
              <w:bottom w:val="nil"/>
              <w:right w:val="nil"/>
            </w:tcBorders>
            <w:shd w:val="clear" w:color="auto" w:fill="auto"/>
            <w:noWrap/>
            <w:vAlign w:val="bottom"/>
            <w:hideMark/>
          </w:tcPr>
          <w:p w14:paraId="537393CD" w14:textId="77777777" w:rsidR="0013326E" w:rsidRDefault="0013326E">
            <w:pPr>
              <w:jc w:val="right"/>
              <w:rPr>
                <w:rFonts w:ascii="Calibri" w:hAnsi="Calibri" w:cs="Calibri"/>
                <w:sz w:val="22"/>
                <w:szCs w:val="22"/>
              </w:rPr>
            </w:pPr>
            <w:r>
              <w:rPr>
                <w:rFonts w:ascii="Calibri" w:hAnsi="Calibri" w:cs="Calibri"/>
                <w:sz w:val="22"/>
                <w:szCs w:val="22"/>
              </w:rPr>
              <w:t>14.8%</w:t>
            </w:r>
          </w:p>
        </w:tc>
        <w:tc>
          <w:tcPr>
            <w:tcW w:w="2269" w:type="dxa"/>
            <w:gridSpan w:val="3"/>
            <w:tcBorders>
              <w:top w:val="nil"/>
              <w:left w:val="nil"/>
              <w:bottom w:val="nil"/>
              <w:right w:val="nil"/>
            </w:tcBorders>
            <w:shd w:val="clear" w:color="auto" w:fill="auto"/>
            <w:noWrap/>
            <w:vAlign w:val="bottom"/>
            <w:hideMark/>
          </w:tcPr>
          <w:p w14:paraId="13F9EEAD" w14:textId="77777777" w:rsidR="0013326E" w:rsidRDefault="0013326E">
            <w:pPr>
              <w:jc w:val="right"/>
              <w:rPr>
                <w:rFonts w:ascii="Calibri" w:hAnsi="Calibri" w:cs="Calibri"/>
                <w:sz w:val="22"/>
                <w:szCs w:val="22"/>
              </w:rPr>
            </w:pPr>
            <w:r>
              <w:rPr>
                <w:rFonts w:ascii="Calibri" w:hAnsi="Calibri" w:cs="Calibri"/>
                <w:sz w:val="22"/>
                <w:szCs w:val="22"/>
              </w:rPr>
              <w:t>73.8%</w:t>
            </w:r>
          </w:p>
        </w:tc>
      </w:tr>
      <w:tr w:rsidR="0013326E" w14:paraId="143DC2AB" w14:textId="77777777" w:rsidTr="0013326E">
        <w:trPr>
          <w:trHeight w:val="264"/>
        </w:trPr>
        <w:tc>
          <w:tcPr>
            <w:tcW w:w="874" w:type="dxa"/>
            <w:tcBorders>
              <w:top w:val="nil"/>
              <w:left w:val="nil"/>
              <w:bottom w:val="nil"/>
              <w:right w:val="nil"/>
            </w:tcBorders>
            <w:shd w:val="clear" w:color="auto" w:fill="auto"/>
            <w:noWrap/>
            <w:vAlign w:val="bottom"/>
            <w:hideMark/>
          </w:tcPr>
          <w:p w14:paraId="79CAA035" w14:textId="77777777" w:rsidR="0013326E" w:rsidRDefault="0013326E">
            <w:pPr>
              <w:rPr>
                <w:rFonts w:ascii="Calibri" w:hAnsi="Calibri" w:cs="Calibri"/>
                <w:sz w:val="22"/>
                <w:szCs w:val="22"/>
              </w:rPr>
            </w:pPr>
            <w:r>
              <w:rPr>
                <w:rFonts w:ascii="Calibri" w:hAnsi="Calibri" w:cs="Calibri"/>
                <w:sz w:val="22"/>
                <w:szCs w:val="22"/>
              </w:rPr>
              <w:t>8</w:t>
            </w:r>
          </w:p>
        </w:tc>
        <w:tc>
          <w:tcPr>
            <w:tcW w:w="1252" w:type="dxa"/>
            <w:gridSpan w:val="2"/>
            <w:tcBorders>
              <w:top w:val="nil"/>
              <w:left w:val="nil"/>
              <w:bottom w:val="nil"/>
              <w:right w:val="nil"/>
            </w:tcBorders>
            <w:shd w:val="clear" w:color="auto" w:fill="auto"/>
            <w:noWrap/>
            <w:vAlign w:val="bottom"/>
            <w:hideMark/>
          </w:tcPr>
          <w:p w14:paraId="6D711D71" w14:textId="77777777" w:rsidR="0013326E" w:rsidRDefault="0013326E">
            <w:pPr>
              <w:jc w:val="right"/>
              <w:rPr>
                <w:rFonts w:ascii="Calibri" w:hAnsi="Calibri" w:cs="Calibri"/>
                <w:sz w:val="22"/>
                <w:szCs w:val="22"/>
              </w:rPr>
            </w:pPr>
            <w:r>
              <w:rPr>
                <w:rFonts w:ascii="Calibri" w:hAnsi="Calibri" w:cs="Calibri"/>
                <w:sz w:val="22"/>
                <w:szCs w:val="22"/>
              </w:rPr>
              <w:t>784672</w:t>
            </w:r>
          </w:p>
        </w:tc>
        <w:tc>
          <w:tcPr>
            <w:tcW w:w="1115" w:type="dxa"/>
            <w:gridSpan w:val="2"/>
            <w:tcBorders>
              <w:top w:val="nil"/>
              <w:left w:val="nil"/>
              <w:bottom w:val="nil"/>
              <w:right w:val="nil"/>
            </w:tcBorders>
            <w:shd w:val="clear" w:color="auto" w:fill="auto"/>
            <w:noWrap/>
            <w:vAlign w:val="bottom"/>
            <w:hideMark/>
          </w:tcPr>
          <w:p w14:paraId="2783728F" w14:textId="77777777" w:rsidR="0013326E" w:rsidRDefault="0013326E">
            <w:pPr>
              <w:jc w:val="right"/>
              <w:rPr>
                <w:rFonts w:ascii="Calibri" w:hAnsi="Calibri" w:cs="Calibri"/>
                <w:sz w:val="22"/>
                <w:szCs w:val="22"/>
              </w:rPr>
            </w:pPr>
            <w:r>
              <w:rPr>
                <w:rFonts w:ascii="Calibri" w:hAnsi="Calibri" w:cs="Calibri"/>
                <w:sz w:val="22"/>
                <w:szCs w:val="22"/>
              </w:rPr>
              <w:t>0</w:t>
            </w:r>
          </w:p>
        </w:tc>
        <w:tc>
          <w:tcPr>
            <w:tcW w:w="1350" w:type="dxa"/>
            <w:gridSpan w:val="2"/>
            <w:tcBorders>
              <w:top w:val="nil"/>
              <w:left w:val="nil"/>
              <w:bottom w:val="nil"/>
              <w:right w:val="nil"/>
            </w:tcBorders>
            <w:shd w:val="clear" w:color="auto" w:fill="auto"/>
            <w:noWrap/>
            <w:vAlign w:val="bottom"/>
            <w:hideMark/>
          </w:tcPr>
          <w:p w14:paraId="78CEB130" w14:textId="77777777" w:rsidR="0013326E" w:rsidRDefault="0013326E">
            <w:pPr>
              <w:jc w:val="right"/>
              <w:rPr>
                <w:rFonts w:ascii="Calibri" w:hAnsi="Calibri" w:cs="Calibri"/>
                <w:sz w:val="22"/>
                <w:szCs w:val="22"/>
              </w:rPr>
            </w:pPr>
            <w:r>
              <w:rPr>
                <w:rFonts w:ascii="Calibri" w:hAnsi="Calibri" w:cs="Calibri"/>
                <w:sz w:val="22"/>
                <w:szCs w:val="22"/>
              </w:rPr>
              <w:t>0</w:t>
            </w:r>
          </w:p>
        </w:tc>
        <w:tc>
          <w:tcPr>
            <w:tcW w:w="2171" w:type="dxa"/>
            <w:gridSpan w:val="3"/>
            <w:tcBorders>
              <w:top w:val="nil"/>
              <w:left w:val="nil"/>
              <w:bottom w:val="nil"/>
              <w:right w:val="nil"/>
            </w:tcBorders>
            <w:shd w:val="clear" w:color="auto" w:fill="auto"/>
            <w:noWrap/>
            <w:vAlign w:val="bottom"/>
            <w:hideMark/>
          </w:tcPr>
          <w:p w14:paraId="2C706517" w14:textId="77777777" w:rsidR="0013326E" w:rsidRDefault="0013326E">
            <w:pPr>
              <w:jc w:val="right"/>
              <w:rPr>
                <w:rFonts w:ascii="Calibri" w:hAnsi="Calibri" w:cs="Calibri"/>
                <w:sz w:val="22"/>
                <w:szCs w:val="22"/>
              </w:rPr>
            </w:pPr>
            <w:r>
              <w:rPr>
                <w:rFonts w:ascii="Calibri" w:hAnsi="Calibri" w:cs="Calibri"/>
                <w:sz w:val="22"/>
                <w:szCs w:val="22"/>
              </w:rPr>
              <w:t>14.7%</w:t>
            </w:r>
          </w:p>
        </w:tc>
        <w:tc>
          <w:tcPr>
            <w:tcW w:w="2269" w:type="dxa"/>
            <w:gridSpan w:val="3"/>
            <w:tcBorders>
              <w:top w:val="nil"/>
              <w:left w:val="nil"/>
              <w:bottom w:val="nil"/>
              <w:right w:val="nil"/>
            </w:tcBorders>
            <w:shd w:val="clear" w:color="auto" w:fill="auto"/>
            <w:noWrap/>
            <w:vAlign w:val="bottom"/>
            <w:hideMark/>
          </w:tcPr>
          <w:p w14:paraId="6EE2F77F" w14:textId="77777777" w:rsidR="0013326E" w:rsidRDefault="0013326E">
            <w:pPr>
              <w:jc w:val="right"/>
              <w:rPr>
                <w:rFonts w:ascii="Calibri" w:hAnsi="Calibri" w:cs="Calibri"/>
                <w:sz w:val="22"/>
                <w:szCs w:val="22"/>
              </w:rPr>
            </w:pPr>
            <w:r>
              <w:rPr>
                <w:rFonts w:ascii="Calibri" w:hAnsi="Calibri" w:cs="Calibri"/>
                <w:sz w:val="22"/>
                <w:szCs w:val="22"/>
              </w:rPr>
              <w:t>62.3%</w:t>
            </w:r>
          </w:p>
        </w:tc>
      </w:tr>
      <w:tr w:rsidR="0013326E" w14:paraId="7F65788A" w14:textId="77777777" w:rsidTr="0013326E">
        <w:trPr>
          <w:trHeight w:val="264"/>
        </w:trPr>
        <w:tc>
          <w:tcPr>
            <w:tcW w:w="874" w:type="dxa"/>
            <w:tcBorders>
              <w:top w:val="nil"/>
              <w:left w:val="nil"/>
              <w:bottom w:val="nil"/>
              <w:right w:val="nil"/>
            </w:tcBorders>
            <w:shd w:val="clear" w:color="auto" w:fill="auto"/>
            <w:noWrap/>
            <w:vAlign w:val="bottom"/>
            <w:hideMark/>
          </w:tcPr>
          <w:p w14:paraId="2061D398" w14:textId="77777777" w:rsidR="0013326E" w:rsidRDefault="0013326E">
            <w:pPr>
              <w:rPr>
                <w:rFonts w:ascii="Calibri" w:hAnsi="Calibri" w:cs="Calibri"/>
                <w:sz w:val="22"/>
                <w:szCs w:val="22"/>
              </w:rPr>
            </w:pPr>
            <w:r>
              <w:rPr>
                <w:rFonts w:ascii="Calibri" w:hAnsi="Calibri" w:cs="Calibri"/>
                <w:sz w:val="22"/>
                <w:szCs w:val="22"/>
              </w:rPr>
              <w:t>9</w:t>
            </w:r>
          </w:p>
        </w:tc>
        <w:tc>
          <w:tcPr>
            <w:tcW w:w="1252" w:type="dxa"/>
            <w:gridSpan w:val="2"/>
            <w:tcBorders>
              <w:top w:val="nil"/>
              <w:left w:val="nil"/>
              <w:bottom w:val="nil"/>
              <w:right w:val="nil"/>
            </w:tcBorders>
            <w:shd w:val="clear" w:color="auto" w:fill="auto"/>
            <w:noWrap/>
            <w:vAlign w:val="bottom"/>
            <w:hideMark/>
          </w:tcPr>
          <w:p w14:paraId="63FF2DE8" w14:textId="77777777" w:rsidR="0013326E" w:rsidRDefault="0013326E">
            <w:pPr>
              <w:jc w:val="right"/>
              <w:rPr>
                <w:rFonts w:ascii="Calibri" w:hAnsi="Calibri" w:cs="Calibri"/>
                <w:sz w:val="22"/>
                <w:szCs w:val="22"/>
              </w:rPr>
            </w:pPr>
            <w:r>
              <w:rPr>
                <w:rFonts w:ascii="Calibri" w:hAnsi="Calibri" w:cs="Calibri"/>
                <w:sz w:val="22"/>
                <w:szCs w:val="22"/>
              </w:rPr>
              <w:t>784672</w:t>
            </w:r>
          </w:p>
        </w:tc>
        <w:tc>
          <w:tcPr>
            <w:tcW w:w="1115" w:type="dxa"/>
            <w:gridSpan w:val="2"/>
            <w:tcBorders>
              <w:top w:val="nil"/>
              <w:left w:val="nil"/>
              <w:bottom w:val="nil"/>
              <w:right w:val="nil"/>
            </w:tcBorders>
            <w:shd w:val="clear" w:color="auto" w:fill="auto"/>
            <w:noWrap/>
            <w:vAlign w:val="bottom"/>
            <w:hideMark/>
          </w:tcPr>
          <w:p w14:paraId="4F910641" w14:textId="77777777" w:rsidR="0013326E" w:rsidRDefault="0013326E">
            <w:pPr>
              <w:jc w:val="right"/>
              <w:rPr>
                <w:rFonts w:ascii="Calibri" w:hAnsi="Calibri" w:cs="Calibri"/>
                <w:sz w:val="22"/>
                <w:szCs w:val="22"/>
              </w:rPr>
            </w:pPr>
            <w:r>
              <w:rPr>
                <w:rFonts w:ascii="Calibri" w:hAnsi="Calibri" w:cs="Calibri"/>
                <w:sz w:val="22"/>
                <w:szCs w:val="22"/>
              </w:rPr>
              <w:t>0</w:t>
            </w:r>
          </w:p>
        </w:tc>
        <w:tc>
          <w:tcPr>
            <w:tcW w:w="1350" w:type="dxa"/>
            <w:gridSpan w:val="2"/>
            <w:tcBorders>
              <w:top w:val="nil"/>
              <w:left w:val="nil"/>
              <w:bottom w:val="nil"/>
              <w:right w:val="nil"/>
            </w:tcBorders>
            <w:shd w:val="clear" w:color="auto" w:fill="auto"/>
            <w:noWrap/>
            <w:vAlign w:val="bottom"/>
            <w:hideMark/>
          </w:tcPr>
          <w:p w14:paraId="09A9D7D0" w14:textId="77777777" w:rsidR="0013326E" w:rsidRDefault="0013326E">
            <w:pPr>
              <w:jc w:val="right"/>
              <w:rPr>
                <w:rFonts w:ascii="Calibri" w:hAnsi="Calibri" w:cs="Calibri"/>
                <w:sz w:val="22"/>
                <w:szCs w:val="22"/>
              </w:rPr>
            </w:pPr>
            <w:r>
              <w:rPr>
                <w:rFonts w:ascii="Calibri" w:hAnsi="Calibri" w:cs="Calibri"/>
                <w:sz w:val="22"/>
                <w:szCs w:val="22"/>
              </w:rPr>
              <w:t>0</w:t>
            </w:r>
          </w:p>
        </w:tc>
        <w:tc>
          <w:tcPr>
            <w:tcW w:w="2171" w:type="dxa"/>
            <w:gridSpan w:val="3"/>
            <w:tcBorders>
              <w:top w:val="nil"/>
              <w:left w:val="nil"/>
              <w:bottom w:val="nil"/>
              <w:right w:val="nil"/>
            </w:tcBorders>
            <w:shd w:val="clear" w:color="auto" w:fill="auto"/>
            <w:noWrap/>
            <w:vAlign w:val="bottom"/>
            <w:hideMark/>
          </w:tcPr>
          <w:p w14:paraId="53C90520" w14:textId="77777777" w:rsidR="0013326E" w:rsidRDefault="0013326E">
            <w:pPr>
              <w:jc w:val="right"/>
              <w:rPr>
                <w:rFonts w:ascii="Calibri" w:hAnsi="Calibri" w:cs="Calibri"/>
                <w:sz w:val="22"/>
                <w:szCs w:val="22"/>
              </w:rPr>
            </w:pPr>
            <w:r>
              <w:rPr>
                <w:rFonts w:ascii="Calibri" w:hAnsi="Calibri" w:cs="Calibri"/>
                <w:sz w:val="22"/>
                <w:szCs w:val="22"/>
              </w:rPr>
              <w:t>6.9%</w:t>
            </w:r>
          </w:p>
        </w:tc>
        <w:tc>
          <w:tcPr>
            <w:tcW w:w="2269" w:type="dxa"/>
            <w:gridSpan w:val="3"/>
            <w:tcBorders>
              <w:top w:val="nil"/>
              <w:left w:val="nil"/>
              <w:bottom w:val="nil"/>
              <w:right w:val="nil"/>
            </w:tcBorders>
            <w:shd w:val="clear" w:color="auto" w:fill="auto"/>
            <w:noWrap/>
            <w:vAlign w:val="bottom"/>
            <w:hideMark/>
          </w:tcPr>
          <w:p w14:paraId="61D6902A" w14:textId="77777777" w:rsidR="0013326E" w:rsidRDefault="0013326E">
            <w:pPr>
              <w:jc w:val="right"/>
              <w:rPr>
                <w:rFonts w:ascii="Calibri" w:hAnsi="Calibri" w:cs="Calibri"/>
                <w:sz w:val="22"/>
                <w:szCs w:val="22"/>
              </w:rPr>
            </w:pPr>
            <w:r>
              <w:rPr>
                <w:rFonts w:ascii="Calibri" w:hAnsi="Calibri" w:cs="Calibri"/>
                <w:sz w:val="22"/>
                <w:szCs w:val="22"/>
              </w:rPr>
              <w:t>89.3%</w:t>
            </w:r>
          </w:p>
        </w:tc>
      </w:tr>
      <w:tr w:rsidR="0013326E" w14:paraId="30A3B97E" w14:textId="77777777" w:rsidTr="0013326E">
        <w:trPr>
          <w:trHeight w:val="264"/>
        </w:trPr>
        <w:tc>
          <w:tcPr>
            <w:tcW w:w="874" w:type="dxa"/>
            <w:tcBorders>
              <w:top w:val="nil"/>
              <w:left w:val="nil"/>
              <w:bottom w:val="nil"/>
              <w:right w:val="nil"/>
            </w:tcBorders>
            <w:shd w:val="clear" w:color="auto" w:fill="auto"/>
            <w:noWrap/>
            <w:vAlign w:val="bottom"/>
            <w:hideMark/>
          </w:tcPr>
          <w:p w14:paraId="72CE4BCD" w14:textId="77777777" w:rsidR="0013326E" w:rsidRDefault="0013326E">
            <w:pPr>
              <w:rPr>
                <w:rFonts w:ascii="Calibri" w:hAnsi="Calibri" w:cs="Calibri"/>
                <w:sz w:val="22"/>
                <w:szCs w:val="22"/>
              </w:rPr>
            </w:pPr>
            <w:r>
              <w:rPr>
                <w:rFonts w:ascii="Calibri" w:hAnsi="Calibri" w:cs="Calibri"/>
                <w:sz w:val="22"/>
                <w:szCs w:val="22"/>
              </w:rPr>
              <w:t>10</w:t>
            </w:r>
          </w:p>
        </w:tc>
        <w:tc>
          <w:tcPr>
            <w:tcW w:w="1252" w:type="dxa"/>
            <w:gridSpan w:val="2"/>
            <w:tcBorders>
              <w:top w:val="nil"/>
              <w:left w:val="nil"/>
              <w:bottom w:val="nil"/>
              <w:right w:val="nil"/>
            </w:tcBorders>
            <w:shd w:val="clear" w:color="auto" w:fill="auto"/>
            <w:noWrap/>
            <w:vAlign w:val="bottom"/>
            <w:hideMark/>
          </w:tcPr>
          <w:p w14:paraId="6F3EF978" w14:textId="77777777" w:rsidR="0013326E" w:rsidRDefault="0013326E">
            <w:pPr>
              <w:jc w:val="right"/>
              <w:rPr>
                <w:rFonts w:ascii="Calibri" w:hAnsi="Calibri" w:cs="Calibri"/>
                <w:sz w:val="22"/>
                <w:szCs w:val="22"/>
              </w:rPr>
            </w:pPr>
            <w:r>
              <w:rPr>
                <w:rFonts w:ascii="Calibri" w:hAnsi="Calibri" w:cs="Calibri"/>
                <w:sz w:val="22"/>
                <w:szCs w:val="22"/>
              </w:rPr>
              <w:t>784671</w:t>
            </w:r>
          </w:p>
        </w:tc>
        <w:tc>
          <w:tcPr>
            <w:tcW w:w="1115" w:type="dxa"/>
            <w:gridSpan w:val="2"/>
            <w:tcBorders>
              <w:top w:val="nil"/>
              <w:left w:val="nil"/>
              <w:bottom w:val="nil"/>
              <w:right w:val="nil"/>
            </w:tcBorders>
            <w:shd w:val="clear" w:color="auto" w:fill="auto"/>
            <w:noWrap/>
            <w:vAlign w:val="bottom"/>
            <w:hideMark/>
          </w:tcPr>
          <w:p w14:paraId="5DF5767D" w14:textId="77777777" w:rsidR="0013326E" w:rsidRDefault="0013326E">
            <w:pPr>
              <w:jc w:val="right"/>
              <w:rPr>
                <w:rFonts w:ascii="Calibri" w:hAnsi="Calibri" w:cs="Calibri"/>
                <w:sz w:val="22"/>
                <w:szCs w:val="22"/>
              </w:rPr>
            </w:pPr>
            <w:r>
              <w:rPr>
                <w:rFonts w:ascii="Calibri" w:hAnsi="Calibri" w:cs="Calibri"/>
                <w:sz w:val="22"/>
                <w:szCs w:val="22"/>
              </w:rPr>
              <w:t>-1</w:t>
            </w:r>
          </w:p>
        </w:tc>
        <w:tc>
          <w:tcPr>
            <w:tcW w:w="1350" w:type="dxa"/>
            <w:gridSpan w:val="2"/>
            <w:tcBorders>
              <w:top w:val="nil"/>
              <w:left w:val="nil"/>
              <w:bottom w:val="nil"/>
              <w:right w:val="nil"/>
            </w:tcBorders>
            <w:shd w:val="clear" w:color="auto" w:fill="auto"/>
            <w:noWrap/>
            <w:vAlign w:val="bottom"/>
            <w:hideMark/>
          </w:tcPr>
          <w:p w14:paraId="2CCF8A07" w14:textId="77777777" w:rsidR="0013326E" w:rsidRDefault="0013326E">
            <w:pPr>
              <w:jc w:val="right"/>
              <w:rPr>
                <w:rFonts w:ascii="Calibri" w:hAnsi="Calibri" w:cs="Calibri"/>
                <w:sz w:val="22"/>
                <w:szCs w:val="22"/>
              </w:rPr>
            </w:pPr>
            <w:r>
              <w:rPr>
                <w:rFonts w:ascii="Calibri" w:hAnsi="Calibri" w:cs="Calibri"/>
                <w:sz w:val="22"/>
                <w:szCs w:val="22"/>
              </w:rPr>
              <w:t>-0.000001</w:t>
            </w:r>
          </w:p>
        </w:tc>
        <w:tc>
          <w:tcPr>
            <w:tcW w:w="2171" w:type="dxa"/>
            <w:gridSpan w:val="3"/>
            <w:tcBorders>
              <w:top w:val="nil"/>
              <w:left w:val="nil"/>
              <w:bottom w:val="nil"/>
              <w:right w:val="nil"/>
            </w:tcBorders>
            <w:shd w:val="clear" w:color="auto" w:fill="auto"/>
            <w:noWrap/>
            <w:vAlign w:val="bottom"/>
            <w:hideMark/>
          </w:tcPr>
          <w:p w14:paraId="30EF089C" w14:textId="77777777" w:rsidR="0013326E" w:rsidRDefault="0013326E">
            <w:pPr>
              <w:jc w:val="right"/>
              <w:rPr>
                <w:rFonts w:ascii="Calibri" w:hAnsi="Calibri" w:cs="Calibri"/>
                <w:sz w:val="22"/>
                <w:szCs w:val="22"/>
              </w:rPr>
            </w:pPr>
            <w:r>
              <w:rPr>
                <w:rFonts w:ascii="Calibri" w:hAnsi="Calibri" w:cs="Calibri"/>
                <w:sz w:val="22"/>
                <w:szCs w:val="22"/>
              </w:rPr>
              <w:t>13.3%</w:t>
            </w:r>
          </w:p>
        </w:tc>
        <w:tc>
          <w:tcPr>
            <w:tcW w:w="2269" w:type="dxa"/>
            <w:gridSpan w:val="3"/>
            <w:tcBorders>
              <w:top w:val="nil"/>
              <w:left w:val="nil"/>
              <w:bottom w:val="nil"/>
              <w:right w:val="nil"/>
            </w:tcBorders>
            <w:shd w:val="clear" w:color="auto" w:fill="auto"/>
            <w:noWrap/>
            <w:vAlign w:val="bottom"/>
            <w:hideMark/>
          </w:tcPr>
          <w:p w14:paraId="5D2A08E2" w14:textId="77777777" w:rsidR="0013326E" w:rsidRDefault="0013326E">
            <w:pPr>
              <w:jc w:val="right"/>
              <w:rPr>
                <w:rFonts w:ascii="Calibri" w:hAnsi="Calibri" w:cs="Calibri"/>
                <w:sz w:val="22"/>
                <w:szCs w:val="22"/>
              </w:rPr>
            </w:pPr>
            <w:r>
              <w:rPr>
                <w:rFonts w:ascii="Calibri" w:hAnsi="Calibri" w:cs="Calibri"/>
                <w:sz w:val="22"/>
                <w:szCs w:val="22"/>
              </w:rPr>
              <w:t>60.0%</w:t>
            </w:r>
          </w:p>
        </w:tc>
      </w:tr>
      <w:tr w:rsidR="0013326E" w14:paraId="631901F4" w14:textId="77777777" w:rsidTr="0013326E">
        <w:trPr>
          <w:trHeight w:val="264"/>
        </w:trPr>
        <w:tc>
          <w:tcPr>
            <w:tcW w:w="874" w:type="dxa"/>
            <w:tcBorders>
              <w:top w:val="nil"/>
              <w:left w:val="nil"/>
              <w:bottom w:val="nil"/>
              <w:right w:val="nil"/>
            </w:tcBorders>
            <w:shd w:val="clear" w:color="auto" w:fill="auto"/>
            <w:noWrap/>
            <w:vAlign w:val="bottom"/>
            <w:hideMark/>
          </w:tcPr>
          <w:p w14:paraId="140FE620" w14:textId="77777777" w:rsidR="0013326E" w:rsidRDefault="0013326E">
            <w:pPr>
              <w:rPr>
                <w:rFonts w:ascii="Calibri" w:hAnsi="Calibri" w:cs="Calibri"/>
                <w:sz w:val="22"/>
                <w:szCs w:val="22"/>
              </w:rPr>
            </w:pPr>
            <w:r>
              <w:rPr>
                <w:rFonts w:ascii="Calibri" w:hAnsi="Calibri" w:cs="Calibri"/>
                <w:sz w:val="22"/>
                <w:szCs w:val="22"/>
              </w:rPr>
              <w:t>11</w:t>
            </w:r>
          </w:p>
        </w:tc>
        <w:tc>
          <w:tcPr>
            <w:tcW w:w="1252" w:type="dxa"/>
            <w:gridSpan w:val="2"/>
            <w:tcBorders>
              <w:top w:val="nil"/>
              <w:left w:val="nil"/>
              <w:bottom w:val="nil"/>
              <w:right w:val="nil"/>
            </w:tcBorders>
            <w:shd w:val="clear" w:color="auto" w:fill="auto"/>
            <w:noWrap/>
            <w:vAlign w:val="bottom"/>
            <w:hideMark/>
          </w:tcPr>
          <w:p w14:paraId="40FC1AD0" w14:textId="77777777" w:rsidR="0013326E" w:rsidRDefault="0013326E">
            <w:pPr>
              <w:jc w:val="right"/>
              <w:rPr>
                <w:rFonts w:ascii="Calibri" w:hAnsi="Calibri" w:cs="Calibri"/>
                <w:sz w:val="22"/>
                <w:szCs w:val="22"/>
              </w:rPr>
            </w:pPr>
            <w:r>
              <w:rPr>
                <w:rFonts w:ascii="Calibri" w:hAnsi="Calibri" w:cs="Calibri"/>
                <w:sz w:val="22"/>
                <w:szCs w:val="22"/>
              </w:rPr>
              <w:t>784673</w:t>
            </w:r>
          </w:p>
        </w:tc>
        <w:tc>
          <w:tcPr>
            <w:tcW w:w="1115" w:type="dxa"/>
            <w:gridSpan w:val="2"/>
            <w:tcBorders>
              <w:top w:val="nil"/>
              <w:left w:val="nil"/>
              <w:bottom w:val="nil"/>
              <w:right w:val="nil"/>
            </w:tcBorders>
            <w:shd w:val="clear" w:color="auto" w:fill="auto"/>
            <w:noWrap/>
            <w:vAlign w:val="bottom"/>
            <w:hideMark/>
          </w:tcPr>
          <w:p w14:paraId="229D7874" w14:textId="77777777" w:rsidR="0013326E" w:rsidRDefault="0013326E">
            <w:pPr>
              <w:jc w:val="right"/>
              <w:rPr>
                <w:rFonts w:ascii="Calibri" w:hAnsi="Calibri" w:cs="Calibri"/>
                <w:sz w:val="22"/>
                <w:szCs w:val="22"/>
              </w:rPr>
            </w:pPr>
            <w:r>
              <w:rPr>
                <w:rFonts w:ascii="Calibri" w:hAnsi="Calibri" w:cs="Calibri"/>
                <w:sz w:val="22"/>
                <w:szCs w:val="22"/>
              </w:rPr>
              <w:t>1</w:t>
            </w:r>
          </w:p>
        </w:tc>
        <w:tc>
          <w:tcPr>
            <w:tcW w:w="1350" w:type="dxa"/>
            <w:gridSpan w:val="2"/>
            <w:tcBorders>
              <w:top w:val="nil"/>
              <w:left w:val="nil"/>
              <w:bottom w:val="nil"/>
              <w:right w:val="nil"/>
            </w:tcBorders>
            <w:shd w:val="clear" w:color="auto" w:fill="auto"/>
            <w:noWrap/>
            <w:vAlign w:val="bottom"/>
            <w:hideMark/>
          </w:tcPr>
          <w:p w14:paraId="0E22BA48" w14:textId="77777777" w:rsidR="0013326E" w:rsidRDefault="0013326E">
            <w:pPr>
              <w:jc w:val="right"/>
              <w:rPr>
                <w:rFonts w:ascii="Calibri" w:hAnsi="Calibri" w:cs="Calibri"/>
                <w:sz w:val="22"/>
                <w:szCs w:val="22"/>
              </w:rPr>
            </w:pPr>
            <w:r>
              <w:rPr>
                <w:rFonts w:ascii="Calibri" w:hAnsi="Calibri" w:cs="Calibri"/>
                <w:sz w:val="22"/>
                <w:szCs w:val="22"/>
              </w:rPr>
              <w:t>0.000001</w:t>
            </w:r>
          </w:p>
        </w:tc>
        <w:tc>
          <w:tcPr>
            <w:tcW w:w="2171" w:type="dxa"/>
            <w:gridSpan w:val="3"/>
            <w:tcBorders>
              <w:top w:val="nil"/>
              <w:left w:val="nil"/>
              <w:bottom w:val="nil"/>
              <w:right w:val="nil"/>
            </w:tcBorders>
            <w:shd w:val="clear" w:color="auto" w:fill="auto"/>
            <w:noWrap/>
            <w:vAlign w:val="bottom"/>
            <w:hideMark/>
          </w:tcPr>
          <w:p w14:paraId="65512236" w14:textId="77777777" w:rsidR="0013326E" w:rsidRDefault="0013326E">
            <w:pPr>
              <w:jc w:val="right"/>
              <w:rPr>
                <w:rFonts w:ascii="Calibri" w:hAnsi="Calibri" w:cs="Calibri"/>
                <w:sz w:val="22"/>
                <w:szCs w:val="22"/>
              </w:rPr>
            </w:pPr>
            <w:r>
              <w:rPr>
                <w:rFonts w:ascii="Calibri" w:hAnsi="Calibri" w:cs="Calibri"/>
                <w:sz w:val="22"/>
                <w:szCs w:val="22"/>
              </w:rPr>
              <w:t>7.3%</w:t>
            </w:r>
          </w:p>
        </w:tc>
        <w:tc>
          <w:tcPr>
            <w:tcW w:w="2269" w:type="dxa"/>
            <w:gridSpan w:val="3"/>
            <w:tcBorders>
              <w:top w:val="nil"/>
              <w:left w:val="nil"/>
              <w:bottom w:val="nil"/>
              <w:right w:val="nil"/>
            </w:tcBorders>
            <w:shd w:val="clear" w:color="auto" w:fill="auto"/>
            <w:noWrap/>
            <w:vAlign w:val="bottom"/>
            <w:hideMark/>
          </w:tcPr>
          <w:p w14:paraId="749A6B73" w14:textId="77777777" w:rsidR="0013326E" w:rsidRDefault="0013326E">
            <w:pPr>
              <w:jc w:val="right"/>
              <w:rPr>
                <w:rFonts w:ascii="Calibri" w:hAnsi="Calibri" w:cs="Calibri"/>
                <w:sz w:val="22"/>
                <w:szCs w:val="22"/>
              </w:rPr>
            </w:pPr>
            <w:r>
              <w:rPr>
                <w:rFonts w:ascii="Calibri" w:hAnsi="Calibri" w:cs="Calibri"/>
                <w:sz w:val="22"/>
                <w:szCs w:val="22"/>
              </w:rPr>
              <w:t>63.0%</w:t>
            </w:r>
          </w:p>
        </w:tc>
      </w:tr>
      <w:tr w:rsidR="0013326E" w14:paraId="09DB5F2A" w14:textId="77777777" w:rsidTr="0013326E">
        <w:trPr>
          <w:trHeight w:val="264"/>
        </w:trPr>
        <w:tc>
          <w:tcPr>
            <w:tcW w:w="874" w:type="dxa"/>
            <w:tcBorders>
              <w:top w:val="nil"/>
              <w:left w:val="nil"/>
              <w:bottom w:val="nil"/>
              <w:right w:val="nil"/>
            </w:tcBorders>
            <w:shd w:val="clear" w:color="auto" w:fill="auto"/>
            <w:noWrap/>
            <w:vAlign w:val="bottom"/>
          </w:tcPr>
          <w:p w14:paraId="553545B4" w14:textId="6DAE3CEF" w:rsidR="0013326E" w:rsidRDefault="0013326E">
            <w:pPr>
              <w:rPr>
                <w:rFonts w:ascii="Calibri" w:hAnsi="Calibri" w:cs="Calibri"/>
                <w:sz w:val="22"/>
                <w:szCs w:val="22"/>
              </w:rPr>
            </w:pPr>
          </w:p>
          <w:p w14:paraId="506493BC" w14:textId="77777777" w:rsidR="0013326E" w:rsidRDefault="0013326E">
            <w:pPr>
              <w:rPr>
                <w:rFonts w:ascii="Calibri" w:hAnsi="Calibri" w:cs="Calibri"/>
                <w:sz w:val="22"/>
                <w:szCs w:val="22"/>
              </w:rPr>
            </w:pPr>
          </w:p>
          <w:p w14:paraId="11098832" w14:textId="3FDE7B84" w:rsidR="0013326E" w:rsidRDefault="0013326E">
            <w:pPr>
              <w:rPr>
                <w:rFonts w:ascii="Calibri" w:hAnsi="Calibri" w:cs="Calibri"/>
                <w:sz w:val="22"/>
                <w:szCs w:val="22"/>
              </w:rPr>
            </w:pPr>
          </w:p>
        </w:tc>
        <w:tc>
          <w:tcPr>
            <w:tcW w:w="1252" w:type="dxa"/>
            <w:gridSpan w:val="2"/>
            <w:tcBorders>
              <w:top w:val="nil"/>
              <w:left w:val="nil"/>
              <w:bottom w:val="nil"/>
              <w:right w:val="nil"/>
            </w:tcBorders>
            <w:shd w:val="clear" w:color="auto" w:fill="auto"/>
            <w:noWrap/>
            <w:vAlign w:val="bottom"/>
          </w:tcPr>
          <w:p w14:paraId="35BA92F9" w14:textId="77777777" w:rsidR="0013326E" w:rsidRDefault="0013326E">
            <w:pPr>
              <w:jc w:val="right"/>
              <w:rPr>
                <w:rFonts w:ascii="Calibri" w:hAnsi="Calibri" w:cs="Calibri"/>
                <w:sz w:val="22"/>
                <w:szCs w:val="22"/>
              </w:rPr>
            </w:pPr>
          </w:p>
        </w:tc>
        <w:tc>
          <w:tcPr>
            <w:tcW w:w="1115" w:type="dxa"/>
            <w:gridSpan w:val="2"/>
            <w:tcBorders>
              <w:top w:val="nil"/>
              <w:left w:val="nil"/>
              <w:bottom w:val="nil"/>
              <w:right w:val="nil"/>
            </w:tcBorders>
            <w:shd w:val="clear" w:color="auto" w:fill="auto"/>
            <w:noWrap/>
            <w:vAlign w:val="bottom"/>
          </w:tcPr>
          <w:p w14:paraId="51A525C2" w14:textId="77777777" w:rsidR="0013326E" w:rsidRDefault="0013326E">
            <w:pPr>
              <w:jc w:val="right"/>
              <w:rPr>
                <w:rFonts w:ascii="Calibri" w:hAnsi="Calibri" w:cs="Calibri"/>
                <w:sz w:val="22"/>
                <w:szCs w:val="22"/>
              </w:rPr>
            </w:pPr>
          </w:p>
        </w:tc>
        <w:tc>
          <w:tcPr>
            <w:tcW w:w="1350" w:type="dxa"/>
            <w:gridSpan w:val="2"/>
            <w:tcBorders>
              <w:top w:val="nil"/>
              <w:left w:val="nil"/>
              <w:bottom w:val="nil"/>
              <w:right w:val="nil"/>
            </w:tcBorders>
            <w:shd w:val="clear" w:color="auto" w:fill="auto"/>
            <w:noWrap/>
            <w:vAlign w:val="bottom"/>
          </w:tcPr>
          <w:p w14:paraId="47A6725F" w14:textId="77777777" w:rsidR="0013326E" w:rsidRDefault="0013326E">
            <w:pPr>
              <w:jc w:val="right"/>
              <w:rPr>
                <w:rFonts w:ascii="Calibri" w:hAnsi="Calibri" w:cs="Calibri"/>
                <w:sz w:val="22"/>
                <w:szCs w:val="22"/>
              </w:rPr>
            </w:pPr>
          </w:p>
        </w:tc>
        <w:tc>
          <w:tcPr>
            <w:tcW w:w="2171" w:type="dxa"/>
            <w:gridSpan w:val="3"/>
            <w:tcBorders>
              <w:top w:val="nil"/>
              <w:left w:val="nil"/>
              <w:bottom w:val="nil"/>
              <w:right w:val="nil"/>
            </w:tcBorders>
            <w:shd w:val="clear" w:color="auto" w:fill="auto"/>
            <w:noWrap/>
            <w:vAlign w:val="bottom"/>
          </w:tcPr>
          <w:p w14:paraId="577E79C2" w14:textId="77777777" w:rsidR="0013326E" w:rsidRDefault="0013326E">
            <w:pPr>
              <w:jc w:val="right"/>
              <w:rPr>
                <w:rFonts w:ascii="Calibri" w:hAnsi="Calibri" w:cs="Calibri"/>
                <w:sz w:val="22"/>
                <w:szCs w:val="22"/>
              </w:rPr>
            </w:pPr>
          </w:p>
        </w:tc>
        <w:tc>
          <w:tcPr>
            <w:tcW w:w="2269" w:type="dxa"/>
            <w:gridSpan w:val="3"/>
            <w:tcBorders>
              <w:top w:val="nil"/>
              <w:left w:val="nil"/>
              <w:bottom w:val="nil"/>
              <w:right w:val="nil"/>
            </w:tcBorders>
            <w:shd w:val="clear" w:color="auto" w:fill="auto"/>
            <w:noWrap/>
            <w:vAlign w:val="bottom"/>
          </w:tcPr>
          <w:p w14:paraId="2A11D9C0" w14:textId="77777777" w:rsidR="0013326E" w:rsidRDefault="0013326E">
            <w:pPr>
              <w:jc w:val="right"/>
              <w:rPr>
                <w:rFonts w:ascii="Calibri" w:hAnsi="Calibri" w:cs="Calibri"/>
                <w:sz w:val="22"/>
                <w:szCs w:val="22"/>
              </w:rPr>
            </w:pPr>
          </w:p>
        </w:tc>
      </w:tr>
      <w:tr w:rsidR="0013326E" w14:paraId="0371C5F7" w14:textId="77777777" w:rsidTr="0013326E">
        <w:trPr>
          <w:gridAfter w:val="1"/>
          <w:wAfter w:w="11" w:type="dxa"/>
          <w:trHeight w:val="300"/>
        </w:trPr>
        <w:tc>
          <w:tcPr>
            <w:tcW w:w="880" w:type="dxa"/>
            <w:gridSpan w:val="2"/>
            <w:tcBorders>
              <w:top w:val="nil"/>
              <w:left w:val="nil"/>
              <w:bottom w:val="nil"/>
              <w:right w:val="nil"/>
            </w:tcBorders>
            <w:shd w:val="clear" w:color="auto" w:fill="auto"/>
            <w:noWrap/>
            <w:vAlign w:val="bottom"/>
            <w:hideMark/>
          </w:tcPr>
          <w:p w14:paraId="23CC6C2E" w14:textId="0B844DED" w:rsidR="0013326E" w:rsidRDefault="0013326E">
            <w:pPr>
              <w:rPr>
                <w:rFonts w:ascii="Calibri" w:hAnsi="Calibri" w:cs="Calibri"/>
                <w:b/>
                <w:bCs/>
                <w:sz w:val="22"/>
                <w:szCs w:val="22"/>
              </w:rPr>
            </w:pPr>
            <w:r>
              <w:rPr>
                <w:rFonts w:ascii="Calibri" w:hAnsi="Calibri" w:cs="Calibri"/>
                <w:b/>
                <w:bCs/>
                <w:sz w:val="22"/>
                <w:szCs w:val="22"/>
              </w:rPr>
              <w:t>District</w:t>
            </w:r>
          </w:p>
        </w:tc>
        <w:tc>
          <w:tcPr>
            <w:tcW w:w="1380" w:type="dxa"/>
            <w:gridSpan w:val="2"/>
            <w:tcBorders>
              <w:top w:val="nil"/>
              <w:left w:val="nil"/>
              <w:bottom w:val="nil"/>
              <w:right w:val="nil"/>
            </w:tcBorders>
            <w:shd w:val="clear" w:color="auto" w:fill="auto"/>
            <w:noWrap/>
            <w:vAlign w:val="bottom"/>
            <w:hideMark/>
          </w:tcPr>
          <w:p w14:paraId="745EEDCF" w14:textId="77777777" w:rsidR="0013326E" w:rsidRDefault="0013326E">
            <w:pPr>
              <w:rPr>
                <w:rFonts w:ascii="Calibri" w:hAnsi="Calibri" w:cs="Calibri"/>
                <w:b/>
                <w:bCs/>
                <w:sz w:val="22"/>
                <w:szCs w:val="22"/>
              </w:rPr>
            </w:pPr>
            <w:r>
              <w:rPr>
                <w:rFonts w:ascii="Calibri" w:hAnsi="Calibri" w:cs="Calibri"/>
                <w:b/>
                <w:bCs/>
                <w:sz w:val="22"/>
                <w:szCs w:val="22"/>
              </w:rPr>
              <w:t>% D 20_Pres</w:t>
            </w:r>
          </w:p>
        </w:tc>
        <w:tc>
          <w:tcPr>
            <w:tcW w:w="1380" w:type="dxa"/>
            <w:gridSpan w:val="2"/>
            <w:tcBorders>
              <w:top w:val="nil"/>
              <w:left w:val="nil"/>
              <w:bottom w:val="nil"/>
              <w:right w:val="nil"/>
            </w:tcBorders>
            <w:shd w:val="clear" w:color="auto" w:fill="auto"/>
            <w:noWrap/>
            <w:vAlign w:val="bottom"/>
            <w:hideMark/>
          </w:tcPr>
          <w:p w14:paraId="78D61AE0" w14:textId="77777777" w:rsidR="0013326E" w:rsidRDefault="0013326E">
            <w:pPr>
              <w:rPr>
                <w:rFonts w:ascii="Calibri" w:hAnsi="Calibri" w:cs="Calibri"/>
                <w:b/>
                <w:bCs/>
                <w:sz w:val="22"/>
                <w:szCs w:val="22"/>
              </w:rPr>
            </w:pPr>
            <w:r>
              <w:rPr>
                <w:rFonts w:ascii="Calibri" w:hAnsi="Calibri" w:cs="Calibri"/>
                <w:b/>
                <w:bCs/>
                <w:sz w:val="22"/>
                <w:szCs w:val="22"/>
              </w:rPr>
              <w:t>% R 20_Pres</w:t>
            </w:r>
          </w:p>
        </w:tc>
        <w:tc>
          <w:tcPr>
            <w:tcW w:w="1320" w:type="dxa"/>
            <w:gridSpan w:val="2"/>
            <w:tcBorders>
              <w:top w:val="nil"/>
              <w:left w:val="nil"/>
              <w:bottom w:val="nil"/>
              <w:right w:val="nil"/>
            </w:tcBorders>
            <w:shd w:val="clear" w:color="auto" w:fill="auto"/>
            <w:noWrap/>
            <w:vAlign w:val="bottom"/>
            <w:hideMark/>
          </w:tcPr>
          <w:p w14:paraId="48D20D2B" w14:textId="77777777" w:rsidR="0013326E" w:rsidRDefault="0013326E">
            <w:pPr>
              <w:rPr>
                <w:rFonts w:ascii="Calibri" w:hAnsi="Calibri" w:cs="Calibri"/>
                <w:b/>
                <w:bCs/>
                <w:sz w:val="22"/>
                <w:szCs w:val="22"/>
              </w:rPr>
            </w:pPr>
            <w:r>
              <w:rPr>
                <w:rFonts w:ascii="Calibri" w:hAnsi="Calibri" w:cs="Calibri"/>
                <w:b/>
                <w:bCs/>
                <w:sz w:val="22"/>
                <w:szCs w:val="22"/>
              </w:rPr>
              <w:t>% D 20_Sen</w:t>
            </w:r>
          </w:p>
        </w:tc>
        <w:tc>
          <w:tcPr>
            <w:tcW w:w="1300" w:type="dxa"/>
            <w:tcBorders>
              <w:top w:val="nil"/>
              <w:left w:val="nil"/>
              <w:bottom w:val="nil"/>
              <w:right w:val="nil"/>
            </w:tcBorders>
            <w:shd w:val="clear" w:color="auto" w:fill="auto"/>
            <w:noWrap/>
            <w:vAlign w:val="bottom"/>
            <w:hideMark/>
          </w:tcPr>
          <w:p w14:paraId="3D5005F6" w14:textId="77777777" w:rsidR="0013326E" w:rsidRDefault="0013326E">
            <w:pPr>
              <w:rPr>
                <w:rFonts w:ascii="Calibri" w:hAnsi="Calibri" w:cs="Calibri"/>
                <w:b/>
                <w:bCs/>
                <w:sz w:val="22"/>
                <w:szCs w:val="22"/>
              </w:rPr>
            </w:pPr>
            <w:r>
              <w:rPr>
                <w:rFonts w:ascii="Calibri" w:hAnsi="Calibri" w:cs="Calibri"/>
                <w:b/>
                <w:bCs/>
                <w:sz w:val="22"/>
                <w:szCs w:val="22"/>
              </w:rPr>
              <w:t>% R 20_Sen</w:t>
            </w:r>
          </w:p>
        </w:tc>
        <w:tc>
          <w:tcPr>
            <w:tcW w:w="1380" w:type="dxa"/>
            <w:gridSpan w:val="2"/>
            <w:tcBorders>
              <w:top w:val="nil"/>
              <w:left w:val="nil"/>
              <w:bottom w:val="nil"/>
              <w:right w:val="nil"/>
            </w:tcBorders>
            <w:shd w:val="clear" w:color="auto" w:fill="auto"/>
            <w:noWrap/>
            <w:vAlign w:val="bottom"/>
            <w:hideMark/>
          </w:tcPr>
          <w:p w14:paraId="420171F4" w14:textId="77777777" w:rsidR="0013326E" w:rsidRDefault="0013326E">
            <w:pPr>
              <w:rPr>
                <w:rFonts w:ascii="Calibri" w:hAnsi="Calibri" w:cs="Calibri"/>
                <w:b/>
                <w:bCs/>
                <w:sz w:val="22"/>
                <w:szCs w:val="22"/>
              </w:rPr>
            </w:pPr>
            <w:r>
              <w:rPr>
                <w:rFonts w:ascii="Calibri" w:hAnsi="Calibri" w:cs="Calibri"/>
                <w:b/>
                <w:bCs/>
                <w:sz w:val="22"/>
                <w:szCs w:val="22"/>
              </w:rPr>
              <w:t>% D 16_Pres</w:t>
            </w:r>
          </w:p>
        </w:tc>
        <w:tc>
          <w:tcPr>
            <w:tcW w:w="1380" w:type="dxa"/>
            <w:tcBorders>
              <w:top w:val="nil"/>
              <w:left w:val="nil"/>
              <w:bottom w:val="nil"/>
              <w:right w:val="nil"/>
            </w:tcBorders>
            <w:shd w:val="clear" w:color="auto" w:fill="auto"/>
            <w:noWrap/>
            <w:vAlign w:val="bottom"/>
            <w:hideMark/>
          </w:tcPr>
          <w:p w14:paraId="4C7D7156" w14:textId="77777777" w:rsidR="0013326E" w:rsidRDefault="0013326E">
            <w:pPr>
              <w:rPr>
                <w:rFonts w:ascii="Calibri" w:hAnsi="Calibri" w:cs="Calibri"/>
                <w:b/>
                <w:bCs/>
                <w:sz w:val="22"/>
                <w:szCs w:val="22"/>
              </w:rPr>
            </w:pPr>
            <w:r>
              <w:rPr>
                <w:rFonts w:ascii="Calibri" w:hAnsi="Calibri" w:cs="Calibri"/>
                <w:b/>
                <w:bCs/>
                <w:sz w:val="22"/>
                <w:szCs w:val="22"/>
              </w:rPr>
              <w:t>% R 16_Pres</w:t>
            </w:r>
          </w:p>
        </w:tc>
      </w:tr>
      <w:tr w:rsidR="0013326E" w14:paraId="2B7434C1" w14:textId="77777777" w:rsidTr="0013326E">
        <w:trPr>
          <w:gridAfter w:val="1"/>
          <w:wAfter w:w="11" w:type="dxa"/>
          <w:trHeight w:val="300"/>
        </w:trPr>
        <w:tc>
          <w:tcPr>
            <w:tcW w:w="880" w:type="dxa"/>
            <w:gridSpan w:val="2"/>
            <w:tcBorders>
              <w:top w:val="nil"/>
              <w:left w:val="nil"/>
              <w:bottom w:val="nil"/>
              <w:right w:val="nil"/>
            </w:tcBorders>
            <w:shd w:val="clear" w:color="auto" w:fill="auto"/>
            <w:noWrap/>
            <w:vAlign w:val="bottom"/>
            <w:hideMark/>
          </w:tcPr>
          <w:p w14:paraId="3EC4406A" w14:textId="77777777" w:rsidR="0013326E" w:rsidRDefault="0013326E">
            <w:pPr>
              <w:rPr>
                <w:rFonts w:ascii="Calibri" w:hAnsi="Calibri" w:cs="Calibri"/>
                <w:sz w:val="22"/>
                <w:szCs w:val="22"/>
              </w:rPr>
            </w:pPr>
            <w:r>
              <w:rPr>
                <w:rFonts w:ascii="Calibri" w:hAnsi="Calibri" w:cs="Calibri"/>
                <w:sz w:val="22"/>
                <w:szCs w:val="22"/>
              </w:rPr>
              <w:t>1</w:t>
            </w:r>
          </w:p>
        </w:tc>
        <w:tc>
          <w:tcPr>
            <w:tcW w:w="1380" w:type="dxa"/>
            <w:gridSpan w:val="2"/>
            <w:tcBorders>
              <w:top w:val="nil"/>
              <w:left w:val="nil"/>
              <w:bottom w:val="nil"/>
              <w:right w:val="nil"/>
            </w:tcBorders>
            <w:shd w:val="clear" w:color="auto" w:fill="auto"/>
            <w:noWrap/>
            <w:vAlign w:val="bottom"/>
            <w:hideMark/>
          </w:tcPr>
          <w:p w14:paraId="09E7F861" w14:textId="77777777" w:rsidR="0013326E" w:rsidRDefault="0013326E">
            <w:pPr>
              <w:jc w:val="right"/>
              <w:rPr>
                <w:rFonts w:ascii="Calibri" w:hAnsi="Calibri" w:cs="Calibri"/>
                <w:sz w:val="22"/>
                <w:szCs w:val="22"/>
              </w:rPr>
            </w:pPr>
            <w:r>
              <w:rPr>
                <w:rFonts w:ascii="Calibri" w:hAnsi="Calibri" w:cs="Calibri"/>
                <w:sz w:val="22"/>
                <w:szCs w:val="22"/>
              </w:rPr>
              <w:t>0.47162</w:t>
            </w:r>
          </w:p>
        </w:tc>
        <w:tc>
          <w:tcPr>
            <w:tcW w:w="1380" w:type="dxa"/>
            <w:gridSpan w:val="2"/>
            <w:tcBorders>
              <w:top w:val="nil"/>
              <w:left w:val="nil"/>
              <w:bottom w:val="nil"/>
              <w:right w:val="nil"/>
            </w:tcBorders>
            <w:shd w:val="clear" w:color="auto" w:fill="auto"/>
            <w:noWrap/>
            <w:vAlign w:val="bottom"/>
            <w:hideMark/>
          </w:tcPr>
          <w:p w14:paraId="23305ADC" w14:textId="77777777" w:rsidR="0013326E" w:rsidRDefault="0013326E">
            <w:pPr>
              <w:jc w:val="right"/>
              <w:rPr>
                <w:rFonts w:ascii="Calibri" w:hAnsi="Calibri" w:cs="Calibri"/>
                <w:sz w:val="22"/>
                <w:szCs w:val="22"/>
              </w:rPr>
            </w:pPr>
            <w:r>
              <w:rPr>
                <w:rFonts w:ascii="Calibri" w:hAnsi="Calibri" w:cs="Calibri"/>
                <w:sz w:val="22"/>
                <w:szCs w:val="22"/>
              </w:rPr>
              <w:t>0.50977</w:t>
            </w:r>
          </w:p>
        </w:tc>
        <w:tc>
          <w:tcPr>
            <w:tcW w:w="1320" w:type="dxa"/>
            <w:gridSpan w:val="2"/>
            <w:tcBorders>
              <w:top w:val="nil"/>
              <w:left w:val="nil"/>
              <w:bottom w:val="nil"/>
              <w:right w:val="nil"/>
            </w:tcBorders>
            <w:shd w:val="clear" w:color="auto" w:fill="auto"/>
            <w:noWrap/>
            <w:vAlign w:val="bottom"/>
            <w:hideMark/>
          </w:tcPr>
          <w:p w14:paraId="111A778D" w14:textId="77777777" w:rsidR="0013326E" w:rsidRDefault="0013326E">
            <w:pPr>
              <w:jc w:val="right"/>
              <w:rPr>
                <w:rFonts w:ascii="Calibri" w:hAnsi="Calibri" w:cs="Calibri"/>
                <w:sz w:val="22"/>
                <w:szCs w:val="22"/>
              </w:rPr>
            </w:pPr>
            <w:r>
              <w:rPr>
                <w:rFonts w:ascii="Calibri" w:hAnsi="Calibri" w:cs="Calibri"/>
                <w:sz w:val="22"/>
                <w:szCs w:val="22"/>
              </w:rPr>
              <w:t>0.488058</w:t>
            </w:r>
          </w:p>
        </w:tc>
        <w:tc>
          <w:tcPr>
            <w:tcW w:w="1300" w:type="dxa"/>
            <w:tcBorders>
              <w:top w:val="nil"/>
              <w:left w:val="nil"/>
              <w:bottom w:val="nil"/>
              <w:right w:val="nil"/>
            </w:tcBorders>
            <w:shd w:val="clear" w:color="auto" w:fill="auto"/>
            <w:noWrap/>
            <w:vAlign w:val="bottom"/>
            <w:hideMark/>
          </w:tcPr>
          <w:p w14:paraId="3F691698" w14:textId="77777777" w:rsidR="0013326E" w:rsidRDefault="0013326E">
            <w:pPr>
              <w:jc w:val="right"/>
              <w:rPr>
                <w:rFonts w:ascii="Calibri" w:hAnsi="Calibri" w:cs="Calibri"/>
                <w:sz w:val="22"/>
                <w:szCs w:val="22"/>
              </w:rPr>
            </w:pPr>
            <w:r>
              <w:rPr>
                <w:rFonts w:ascii="Calibri" w:hAnsi="Calibri" w:cs="Calibri"/>
                <w:sz w:val="22"/>
                <w:szCs w:val="22"/>
              </w:rPr>
              <w:t>0.510952</w:t>
            </w:r>
          </w:p>
        </w:tc>
        <w:tc>
          <w:tcPr>
            <w:tcW w:w="1380" w:type="dxa"/>
            <w:gridSpan w:val="2"/>
            <w:tcBorders>
              <w:top w:val="nil"/>
              <w:left w:val="nil"/>
              <w:bottom w:val="nil"/>
              <w:right w:val="nil"/>
            </w:tcBorders>
            <w:shd w:val="clear" w:color="auto" w:fill="auto"/>
            <w:noWrap/>
            <w:vAlign w:val="bottom"/>
            <w:hideMark/>
          </w:tcPr>
          <w:p w14:paraId="3D948BCD" w14:textId="77777777" w:rsidR="0013326E" w:rsidRDefault="0013326E">
            <w:pPr>
              <w:jc w:val="right"/>
              <w:rPr>
                <w:rFonts w:ascii="Calibri" w:hAnsi="Calibri" w:cs="Calibri"/>
                <w:sz w:val="22"/>
                <w:szCs w:val="22"/>
              </w:rPr>
            </w:pPr>
            <w:r>
              <w:rPr>
                <w:rFonts w:ascii="Calibri" w:hAnsi="Calibri" w:cs="Calibri"/>
                <w:sz w:val="22"/>
                <w:szCs w:val="22"/>
              </w:rPr>
              <w:t>44.3%</w:t>
            </w:r>
          </w:p>
        </w:tc>
        <w:tc>
          <w:tcPr>
            <w:tcW w:w="1380" w:type="dxa"/>
            <w:tcBorders>
              <w:top w:val="nil"/>
              <w:left w:val="nil"/>
              <w:bottom w:val="nil"/>
              <w:right w:val="nil"/>
            </w:tcBorders>
            <w:shd w:val="clear" w:color="auto" w:fill="auto"/>
            <w:noWrap/>
            <w:vAlign w:val="bottom"/>
            <w:hideMark/>
          </w:tcPr>
          <w:p w14:paraId="06C4155D" w14:textId="77777777" w:rsidR="0013326E" w:rsidRDefault="0013326E">
            <w:pPr>
              <w:jc w:val="right"/>
              <w:rPr>
                <w:rFonts w:ascii="Calibri" w:hAnsi="Calibri" w:cs="Calibri"/>
                <w:sz w:val="22"/>
                <w:szCs w:val="22"/>
              </w:rPr>
            </w:pPr>
            <w:r>
              <w:rPr>
                <w:rFonts w:ascii="Calibri" w:hAnsi="Calibri" w:cs="Calibri"/>
                <w:sz w:val="22"/>
                <w:szCs w:val="22"/>
              </w:rPr>
              <w:t>55.7%</w:t>
            </w:r>
          </w:p>
        </w:tc>
      </w:tr>
      <w:tr w:rsidR="0013326E" w14:paraId="6F35D44C" w14:textId="77777777" w:rsidTr="0013326E">
        <w:trPr>
          <w:gridAfter w:val="1"/>
          <w:wAfter w:w="11" w:type="dxa"/>
          <w:trHeight w:val="300"/>
        </w:trPr>
        <w:tc>
          <w:tcPr>
            <w:tcW w:w="880" w:type="dxa"/>
            <w:gridSpan w:val="2"/>
            <w:tcBorders>
              <w:top w:val="nil"/>
              <w:left w:val="nil"/>
              <w:bottom w:val="nil"/>
              <w:right w:val="nil"/>
            </w:tcBorders>
            <w:shd w:val="clear" w:color="auto" w:fill="auto"/>
            <w:noWrap/>
            <w:vAlign w:val="bottom"/>
            <w:hideMark/>
          </w:tcPr>
          <w:p w14:paraId="24188AC9" w14:textId="77777777" w:rsidR="0013326E" w:rsidRDefault="0013326E">
            <w:pPr>
              <w:rPr>
                <w:rFonts w:ascii="Calibri" w:hAnsi="Calibri" w:cs="Calibri"/>
                <w:sz w:val="22"/>
                <w:szCs w:val="22"/>
              </w:rPr>
            </w:pPr>
            <w:r>
              <w:rPr>
                <w:rFonts w:ascii="Calibri" w:hAnsi="Calibri" w:cs="Calibri"/>
                <w:sz w:val="22"/>
                <w:szCs w:val="22"/>
              </w:rPr>
              <w:t>2</w:t>
            </w:r>
          </w:p>
        </w:tc>
        <w:tc>
          <w:tcPr>
            <w:tcW w:w="1380" w:type="dxa"/>
            <w:gridSpan w:val="2"/>
            <w:tcBorders>
              <w:top w:val="nil"/>
              <w:left w:val="nil"/>
              <w:bottom w:val="nil"/>
              <w:right w:val="nil"/>
            </w:tcBorders>
            <w:shd w:val="clear" w:color="auto" w:fill="auto"/>
            <w:noWrap/>
            <w:vAlign w:val="bottom"/>
            <w:hideMark/>
          </w:tcPr>
          <w:p w14:paraId="5C90FD1C" w14:textId="77777777" w:rsidR="0013326E" w:rsidRDefault="0013326E">
            <w:pPr>
              <w:jc w:val="right"/>
              <w:rPr>
                <w:rFonts w:ascii="Calibri" w:hAnsi="Calibri" w:cs="Calibri"/>
                <w:sz w:val="22"/>
                <w:szCs w:val="22"/>
              </w:rPr>
            </w:pPr>
            <w:r>
              <w:rPr>
                <w:rFonts w:ascii="Calibri" w:hAnsi="Calibri" w:cs="Calibri"/>
                <w:sz w:val="22"/>
                <w:szCs w:val="22"/>
              </w:rPr>
              <w:t>0.489506</w:t>
            </w:r>
          </w:p>
        </w:tc>
        <w:tc>
          <w:tcPr>
            <w:tcW w:w="1380" w:type="dxa"/>
            <w:gridSpan w:val="2"/>
            <w:tcBorders>
              <w:top w:val="nil"/>
              <w:left w:val="nil"/>
              <w:bottom w:val="nil"/>
              <w:right w:val="nil"/>
            </w:tcBorders>
            <w:shd w:val="clear" w:color="auto" w:fill="auto"/>
            <w:noWrap/>
            <w:vAlign w:val="bottom"/>
            <w:hideMark/>
          </w:tcPr>
          <w:p w14:paraId="414B0EF0" w14:textId="77777777" w:rsidR="0013326E" w:rsidRDefault="0013326E">
            <w:pPr>
              <w:jc w:val="right"/>
              <w:rPr>
                <w:rFonts w:ascii="Calibri" w:hAnsi="Calibri" w:cs="Calibri"/>
                <w:sz w:val="22"/>
                <w:szCs w:val="22"/>
              </w:rPr>
            </w:pPr>
            <w:r>
              <w:rPr>
                <w:rFonts w:ascii="Calibri" w:hAnsi="Calibri" w:cs="Calibri"/>
                <w:sz w:val="22"/>
                <w:szCs w:val="22"/>
              </w:rPr>
              <w:t>0.489261</w:t>
            </w:r>
          </w:p>
        </w:tc>
        <w:tc>
          <w:tcPr>
            <w:tcW w:w="1320" w:type="dxa"/>
            <w:gridSpan w:val="2"/>
            <w:tcBorders>
              <w:top w:val="nil"/>
              <w:left w:val="nil"/>
              <w:bottom w:val="nil"/>
              <w:right w:val="nil"/>
            </w:tcBorders>
            <w:shd w:val="clear" w:color="auto" w:fill="auto"/>
            <w:noWrap/>
            <w:vAlign w:val="bottom"/>
            <w:hideMark/>
          </w:tcPr>
          <w:p w14:paraId="7788D903" w14:textId="77777777" w:rsidR="0013326E" w:rsidRDefault="0013326E">
            <w:pPr>
              <w:jc w:val="right"/>
              <w:rPr>
                <w:rFonts w:ascii="Calibri" w:hAnsi="Calibri" w:cs="Calibri"/>
                <w:sz w:val="22"/>
                <w:szCs w:val="22"/>
              </w:rPr>
            </w:pPr>
            <w:r>
              <w:rPr>
                <w:rFonts w:ascii="Calibri" w:hAnsi="Calibri" w:cs="Calibri"/>
                <w:sz w:val="22"/>
                <w:szCs w:val="22"/>
              </w:rPr>
              <w:t>0.512539</w:t>
            </w:r>
          </w:p>
        </w:tc>
        <w:tc>
          <w:tcPr>
            <w:tcW w:w="1300" w:type="dxa"/>
            <w:tcBorders>
              <w:top w:val="nil"/>
              <w:left w:val="nil"/>
              <w:bottom w:val="nil"/>
              <w:right w:val="nil"/>
            </w:tcBorders>
            <w:shd w:val="clear" w:color="auto" w:fill="auto"/>
            <w:noWrap/>
            <w:vAlign w:val="bottom"/>
            <w:hideMark/>
          </w:tcPr>
          <w:p w14:paraId="57FA4166" w14:textId="77777777" w:rsidR="0013326E" w:rsidRDefault="0013326E">
            <w:pPr>
              <w:jc w:val="right"/>
              <w:rPr>
                <w:rFonts w:ascii="Calibri" w:hAnsi="Calibri" w:cs="Calibri"/>
                <w:sz w:val="22"/>
                <w:szCs w:val="22"/>
              </w:rPr>
            </w:pPr>
            <w:r>
              <w:rPr>
                <w:rFonts w:ascii="Calibri" w:hAnsi="Calibri" w:cs="Calibri"/>
                <w:sz w:val="22"/>
                <w:szCs w:val="22"/>
              </w:rPr>
              <w:t>0.486576</w:t>
            </w:r>
          </w:p>
        </w:tc>
        <w:tc>
          <w:tcPr>
            <w:tcW w:w="1380" w:type="dxa"/>
            <w:gridSpan w:val="2"/>
            <w:tcBorders>
              <w:top w:val="nil"/>
              <w:left w:val="nil"/>
              <w:bottom w:val="nil"/>
              <w:right w:val="nil"/>
            </w:tcBorders>
            <w:shd w:val="clear" w:color="auto" w:fill="auto"/>
            <w:noWrap/>
            <w:vAlign w:val="bottom"/>
            <w:hideMark/>
          </w:tcPr>
          <w:p w14:paraId="36ABC2E4" w14:textId="77777777" w:rsidR="0013326E" w:rsidRDefault="0013326E">
            <w:pPr>
              <w:jc w:val="right"/>
              <w:rPr>
                <w:rFonts w:ascii="Calibri" w:hAnsi="Calibri" w:cs="Calibri"/>
                <w:sz w:val="22"/>
                <w:szCs w:val="22"/>
              </w:rPr>
            </w:pPr>
            <w:r>
              <w:rPr>
                <w:rFonts w:ascii="Calibri" w:hAnsi="Calibri" w:cs="Calibri"/>
                <w:sz w:val="22"/>
                <w:szCs w:val="22"/>
              </w:rPr>
              <w:t>46.2%</w:t>
            </w:r>
          </w:p>
        </w:tc>
        <w:tc>
          <w:tcPr>
            <w:tcW w:w="1380" w:type="dxa"/>
            <w:tcBorders>
              <w:top w:val="nil"/>
              <w:left w:val="nil"/>
              <w:bottom w:val="nil"/>
              <w:right w:val="nil"/>
            </w:tcBorders>
            <w:shd w:val="clear" w:color="auto" w:fill="auto"/>
            <w:noWrap/>
            <w:vAlign w:val="bottom"/>
            <w:hideMark/>
          </w:tcPr>
          <w:p w14:paraId="766080B0" w14:textId="77777777" w:rsidR="0013326E" w:rsidRDefault="0013326E">
            <w:pPr>
              <w:jc w:val="right"/>
              <w:rPr>
                <w:rFonts w:ascii="Calibri" w:hAnsi="Calibri" w:cs="Calibri"/>
                <w:sz w:val="22"/>
                <w:szCs w:val="22"/>
              </w:rPr>
            </w:pPr>
            <w:r>
              <w:rPr>
                <w:rFonts w:ascii="Calibri" w:hAnsi="Calibri" w:cs="Calibri"/>
                <w:sz w:val="22"/>
                <w:szCs w:val="22"/>
              </w:rPr>
              <w:t>53.8%</w:t>
            </w:r>
          </w:p>
        </w:tc>
      </w:tr>
      <w:tr w:rsidR="0013326E" w14:paraId="21C3F6FF" w14:textId="77777777" w:rsidTr="0013326E">
        <w:trPr>
          <w:gridAfter w:val="1"/>
          <w:wAfter w:w="11" w:type="dxa"/>
          <w:trHeight w:val="300"/>
        </w:trPr>
        <w:tc>
          <w:tcPr>
            <w:tcW w:w="880" w:type="dxa"/>
            <w:gridSpan w:val="2"/>
            <w:tcBorders>
              <w:top w:val="nil"/>
              <w:left w:val="nil"/>
              <w:bottom w:val="nil"/>
              <w:right w:val="nil"/>
            </w:tcBorders>
            <w:shd w:val="clear" w:color="auto" w:fill="auto"/>
            <w:noWrap/>
            <w:vAlign w:val="bottom"/>
            <w:hideMark/>
          </w:tcPr>
          <w:p w14:paraId="7F1E6B41" w14:textId="77777777" w:rsidR="0013326E" w:rsidRDefault="0013326E">
            <w:pPr>
              <w:rPr>
                <w:rFonts w:ascii="Calibri" w:hAnsi="Calibri" w:cs="Calibri"/>
                <w:sz w:val="22"/>
                <w:szCs w:val="22"/>
              </w:rPr>
            </w:pPr>
            <w:r>
              <w:rPr>
                <w:rFonts w:ascii="Calibri" w:hAnsi="Calibri" w:cs="Calibri"/>
                <w:sz w:val="22"/>
                <w:szCs w:val="22"/>
              </w:rPr>
              <w:t>3</w:t>
            </w:r>
          </w:p>
        </w:tc>
        <w:tc>
          <w:tcPr>
            <w:tcW w:w="1380" w:type="dxa"/>
            <w:gridSpan w:val="2"/>
            <w:tcBorders>
              <w:top w:val="nil"/>
              <w:left w:val="nil"/>
              <w:bottom w:val="nil"/>
              <w:right w:val="nil"/>
            </w:tcBorders>
            <w:shd w:val="clear" w:color="auto" w:fill="auto"/>
            <w:noWrap/>
            <w:vAlign w:val="bottom"/>
            <w:hideMark/>
          </w:tcPr>
          <w:p w14:paraId="4D05A25C" w14:textId="77777777" w:rsidR="0013326E" w:rsidRDefault="0013326E">
            <w:pPr>
              <w:jc w:val="right"/>
              <w:rPr>
                <w:rFonts w:ascii="Calibri" w:hAnsi="Calibri" w:cs="Calibri"/>
                <w:sz w:val="22"/>
                <w:szCs w:val="22"/>
              </w:rPr>
            </w:pPr>
            <w:r>
              <w:rPr>
                <w:rFonts w:ascii="Calibri" w:hAnsi="Calibri" w:cs="Calibri"/>
                <w:sz w:val="22"/>
                <w:szCs w:val="22"/>
              </w:rPr>
              <w:t>0.664218</w:t>
            </w:r>
          </w:p>
        </w:tc>
        <w:tc>
          <w:tcPr>
            <w:tcW w:w="1380" w:type="dxa"/>
            <w:gridSpan w:val="2"/>
            <w:tcBorders>
              <w:top w:val="nil"/>
              <w:left w:val="nil"/>
              <w:bottom w:val="nil"/>
              <w:right w:val="nil"/>
            </w:tcBorders>
            <w:shd w:val="clear" w:color="auto" w:fill="auto"/>
            <w:noWrap/>
            <w:vAlign w:val="bottom"/>
            <w:hideMark/>
          </w:tcPr>
          <w:p w14:paraId="6C32861A" w14:textId="77777777" w:rsidR="0013326E" w:rsidRDefault="0013326E">
            <w:pPr>
              <w:jc w:val="right"/>
              <w:rPr>
                <w:rFonts w:ascii="Calibri" w:hAnsi="Calibri" w:cs="Calibri"/>
                <w:sz w:val="22"/>
                <w:szCs w:val="22"/>
              </w:rPr>
            </w:pPr>
            <w:r>
              <w:rPr>
                <w:rFonts w:ascii="Calibri" w:hAnsi="Calibri" w:cs="Calibri"/>
                <w:sz w:val="22"/>
                <w:szCs w:val="22"/>
              </w:rPr>
              <w:t>0.316177</w:t>
            </w:r>
          </w:p>
        </w:tc>
        <w:tc>
          <w:tcPr>
            <w:tcW w:w="1320" w:type="dxa"/>
            <w:gridSpan w:val="2"/>
            <w:tcBorders>
              <w:top w:val="nil"/>
              <w:left w:val="nil"/>
              <w:bottom w:val="nil"/>
              <w:right w:val="nil"/>
            </w:tcBorders>
            <w:shd w:val="clear" w:color="auto" w:fill="auto"/>
            <w:noWrap/>
            <w:vAlign w:val="bottom"/>
            <w:hideMark/>
          </w:tcPr>
          <w:p w14:paraId="694F75C0" w14:textId="77777777" w:rsidR="0013326E" w:rsidRDefault="0013326E">
            <w:pPr>
              <w:jc w:val="right"/>
              <w:rPr>
                <w:rFonts w:ascii="Calibri" w:hAnsi="Calibri" w:cs="Calibri"/>
                <w:sz w:val="22"/>
                <w:szCs w:val="22"/>
              </w:rPr>
            </w:pPr>
            <w:r>
              <w:rPr>
                <w:rFonts w:ascii="Calibri" w:hAnsi="Calibri" w:cs="Calibri"/>
                <w:sz w:val="22"/>
                <w:szCs w:val="22"/>
              </w:rPr>
              <w:t>0.684909</w:t>
            </w:r>
          </w:p>
        </w:tc>
        <w:tc>
          <w:tcPr>
            <w:tcW w:w="1300" w:type="dxa"/>
            <w:tcBorders>
              <w:top w:val="nil"/>
              <w:left w:val="nil"/>
              <w:bottom w:val="nil"/>
              <w:right w:val="nil"/>
            </w:tcBorders>
            <w:shd w:val="clear" w:color="auto" w:fill="auto"/>
            <w:noWrap/>
            <w:vAlign w:val="bottom"/>
            <w:hideMark/>
          </w:tcPr>
          <w:p w14:paraId="28652C94" w14:textId="77777777" w:rsidR="0013326E" w:rsidRDefault="0013326E">
            <w:pPr>
              <w:jc w:val="right"/>
              <w:rPr>
                <w:rFonts w:ascii="Calibri" w:hAnsi="Calibri" w:cs="Calibri"/>
                <w:sz w:val="22"/>
                <w:szCs w:val="22"/>
              </w:rPr>
            </w:pPr>
            <w:r>
              <w:rPr>
                <w:rFonts w:ascii="Calibri" w:hAnsi="Calibri" w:cs="Calibri"/>
                <w:sz w:val="22"/>
                <w:szCs w:val="22"/>
              </w:rPr>
              <w:t>0.313922</w:t>
            </w:r>
          </w:p>
        </w:tc>
        <w:tc>
          <w:tcPr>
            <w:tcW w:w="1380" w:type="dxa"/>
            <w:gridSpan w:val="2"/>
            <w:tcBorders>
              <w:top w:val="nil"/>
              <w:left w:val="nil"/>
              <w:bottom w:val="nil"/>
              <w:right w:val="nil"/>
            </w:tcBorders>
            <w:shd w:val="clear" w:color="auto" w:fill="auto"/>
            <w:noWrap/>
            <w:vAlign w:val="bottom"/>
            <w:hideMark/>
          </w:tcPr>
          <w:p w14:paraId="4C6BFDD6" w14:textId="77777777" w:rsidR="0013326E" w:rsidRDefault="0013326E">
            <w:pPr>
              <w:jc w:val="right"/>
              <w:rPr>
                <w:rFonts w:ascii="Calibri" w:hAnsi="Calibri" w:cs="Calibri"/>
                <w:sz w:val="22"/>
                <w:szCs w:val="22"/>
              </w:rPr>
            </w:pPr>
            <w:r>
              <w:rPr>
                <w:rFonts w:ascii="Calibri" w:hAnsi="Calibri" w:cs="Calibri"/>
                <w:sz w:val="22"/>
                <w:szCs w:val="22"/>
              </w:rPr>
              <w:t>65.9%</w:t>
            </w:r>
          </w:p>
        </w:tc>
        <w:tc>
          <w:tcPr>
            <w:tcW w:w="1380" w:type="dxa"/>
            <w:tcBorders>
              <w:top w:val="nil"/>
              <w:left w:val="nil"/>
              <w:bottom w:val="nil"/>
              <w:right w:val="nil"/>
            </w:tcBorders>
            <w:shd w:val="clear" w:color="auto" w:fill="auto"/>
            <w:noWrap/>
            <w:vAlign w:val="bottom"/>
            <w:hideMark/>
          </w:tcPr>
          <w:p w14:paraId="65F5CCF0" w14:textId="77777777" w:rsidR="0013326E" w:rsidRDefault="0013326E">
            <w:pPr>
              <w:jc w:val="right"/>
              <w:rPr>
                <w:rFonts w:ascii="Calibri" w:hAnsi="Calibri" w:cs="Calibri"/>
                <w:sz w:val="22"/>
                <w:szCs w:val="22"/>
              </w:rPr>
            </w:pPr>
            <w:r>
              <w:rPr>
                <w:rFonts w:ascii="Calibri" w:hAnsi="Calibri" w:cs="Calibri"/>
                <w:sz w:val="22"/>
                <w:szCs w:val="22"/>
              </w:rPr>
              <w:t>34.1%</w:t>
            </w:r>
          </w:p>
        </w:tc>
      </w:tr>
      <w:tr w:rsidR="0013326E" w14:paraId="7A584727" w14:textId="77777777" w:rsidTr="0013326E">
        <w:trPr>
          <w:gridAfter w:val="1"/>
          <w:wAfter w:w="11" w:type="dxa"/>
          <w:trHeight w:val="300"/>
        </w:trPr>
        <w:tc>
          <w:tcPr>
            <w:tcW w:w="880" w:type="dxa"/>
            <w:gridSpan w:val="2"/>
            <w:tcBorders>
              <w:top w:val="nil"/>
              <w:left w:val="nil"/>
              <w:bottom w:val="nil"/>
              <w:right w:val="nil"/>
            </w:tcBorders>
            <w:shd w:val="clear" w:color="auto" w:fill="auto"/>
            <w:noWrap/>
            <w:vAlign w:val="bottom"/>
            <w:hideMark/>
          </w:tcPr>
          <w:p w14:paraId="75E74603" w14:textId="77777777" w:rsidR="0013326E" w:rsidRDefault="0013326E">
            <w:pPr>
              <w:rPr>
                <w:rFonts w:ascii="Calibri" w:hAnsi="Calibri" w:cs="Calibri"/>
                <w:sz w:val="22"/>
                <w:szCs w:val="22"/>
              </w:rPr>
            </w:pPr>
            <w:r>
              <w:rPr>
                <w:rFonts w:ascii="Calibri" w:hAnsi="Calibri" w:cs="Calibri"/>
                <w:sz w:val="22"/>
                <w:szCs w:val="22"/>
              </w:rPr>
              <w:t>4</w:t>
            </w:r>
          </w:p>
        </w:tc>
        <w:tc>
          <w:tcPr>
            <w:tcW w:w="1380" w:type="dxa"/>
            <w:gridSpan w:val="2"/>
            <w:tcBorders>
              <w:top w:val="nil"/>
              <w:left w:val="nil"/>
              <w:bottom w:val="nil"/>
              <w:right w:val="nil"/>
            </w:tcBorders>
            <w:shd w:val="clear" w:color="auto" w:fill="auto"/>
            <w:noWrap/>
            <w:vAlign w:val="bottom"/>
            <w:hideMark/>
          </w:tcPr>
          <w:p w14:paraId="4475D5D4" w14:textId="77777777" w:rsidR="0013326E" w:rsidRDefault="0013326E">
            <w:pPr>
              <w:jc w:val="right"/>
              <w:rPr>
                <w:rFonts w:ascii="Calibri" w:hAnsi="Calibri" w:cs="Calibri"/>
                <w:sz w:val="22"/>
                <w:szCs w:val="22"/>
              </w:rPr>
            </w:pPr>
            <w:r>
              <w:rPr>
                <w:rFonts w:ascii="Calibri" w:hAnsi="Calibri" w:cs="Calibri"/>
                <w:sz w:val="22"/>
                <w:szCs w:val="22"/>
              </w:rPr>
              <w:t>0.615805</w:t>
            </w:r>
          </w:p>
        </w:tc>
        <w:tc>
          <w:tcPr>
            <w:tcW w:w="1380" w:type="dxa"/>
            <w:gridSpan w:val="2"/>
            <w:tcBorders>
              <w:top w:val="nil"/>
              <w:left w:val="nil"/>
              <w:bottom w:val="nil"/>
              <w:right w:val="nil"/>
            </w:tcBorders>
            <w:shd w:val="clear" w:color="auto" w:fill="auto"/>
            <w:noWrap/>
            <w:vAlign w:val="bottom"/>
            <w:hideMark/>
          </w:tcPr>
          <w:p w14:paraId="7798FFDA" w14:textId="77777777" w:rsidR="0013326E" w:rsidRDefault="0013326E">
            <w:pPr>
              <w:jc w:val="right"/>
              <w:rPr>
                <w:rFonts w:ascii="Calibri" w:hAnsi="Calibri" w:cs="Calibri"/>
                <w:sz w:val="22"/>
                <w:szCs w:val="22"/>
              </w:rPr>
            </w:pPr>
            <w:r>
              <w:rPr>
                <w:rFonts w:ascii="Calibri" w:hAnsi="Calibri" w:cs="Calibri"/>
                <w:sz w:val="22"/>
                <w:szCs w:val="22"/>
              </w:rPr>
              <w:t>0.367203</w:t>
            </w:r>
          </w:p>
        </w:tc>
        <w:tc>
          <w:tcPr>
            <w:tcW w:w="1320" w:type="dxa"/>
            <w:gridSpan w:val="2"/>
            <w:tcBorders>
              <w:top w:val="nil"/>
              <w:left w:val="nil"/>
              <w:bottom w:val="nil"/>
              <w:right w:val="nil"/>
            </w:tcBorders>
            <w:shd w:val="clear" w:color="auto" w:fill="auto"/>
            <w:noWrap/>
            <w:vAlign w:val="bottom"/>
            <w:hideMark/>
          </w:tcPr>
          <w:p w14:paraId="439C463B" w14:textId="77777777" w:rsidR="0013326E" w:rsidRDefault="0013326E">
            <w:pPr>
              <w:jc w:val="right"/>
              <w:rPr>
                <w:rFonts w:ascii="Calibri" w:hAnsi="Calibri" w:cs="Calibri"/>
                <w:sz w:val="22"/>
                <w:szCs w:val="22"/>
              </w:rPr>
            </w:pPr>
            <w:r>
              <w:rPr>
                <w:rFonts w:ascii="Calibri" w:hAnsi="Calibri" w:cs="Calibri"/>
                <w:sz w:val="22"/>
                <w:szCs w:val="22"/>
              </w:rPr>
              <w:t>0.628891</w:t>
            </w:r>
          </w:p>
        </w:tc>
        <w:tc>
          <w:tcPr>
            <w:tcW w:w="1300" w:type="dxa"/>
            <w:tcBorders>
              <w:top w:val="nil"/>
              <w:left w:val="nil"/>
              <w:bottom w:val="nil"/>
              <w:right w:val="nil"/>
            </w:tcBorders>
            <w:shd w:val="clear" w:color="auto" w:fill="auto"/>
            <w:noWrap/>
            <w:vAlign w:val="bottom"/>
            <w:hideMark/>
          </w:tcPr>
          <w:p w14:paraId="5D3F1EF9" w14:textId="77777777" w:rsidR="0013326E" w:rsidRDefault="0013326E">
            <w:pPr>
              <w:jc w:val="right"/>
              <w:rPr>
                <w:rFonts w:ascii="Calibri" w:hAnsi="Calibri" w:cs="Calibri"/>
                <w:sz w:val="22"/>
                <w:szCs w:val="22"/>
              </w:rPr>
            </w:pPr>
            <w:r>
              <w:rPr>
                <w:rFonts w:ascii="Calibri" w:hAnsi="Calibri" w:cs="Calibri"/>
                <w:sz w:val="22"/>
                <w:szCs w:val="22"/>
              </w:rPr>
              <w:t>0.370183</w:t>
            </w:r>
          </w:p>
        </w:tc>
        <w:tc>
          <w:tcPr>
            <w:tcW w:w="1380" w:type="dxa"/>
            <w:gridSpan w:val="2"/>
            <w:tcBorders>
              <w:top w:val="nil"/>
              <w:left w:val="nil"/>
              <w:bottom w:val="nil"/>
              <w:right w:val="nil"/>
            </w:tcBorders>
            <w:shd w:val="clear" w:color="auto" w:fill="auto"/>
            <w:noWrap/>
            <w:vAlign w:val="bottom"/>
            <w:hideMark/>
          </w:tcPr>
          <w:p w14:paraId="5994129E" w14:textId="77777777" w:rsidR="0013326E" w:rsidRDefault="0013326E">
            <w:pPr>
              <w:jc w:val="right"/>
              <w:rPr>
                <w:rFonts w:ascii="Calibri" w:hAnsi="Calibri" w:cs="Calibri"/>
                <w:sz w:val="22"/>
                <w:szCs w:val="22"/>
              </w:rPr>
            </w:pPr>
            <w:r>
              <w:rPr>
                <w:rFonts w:ascii="Calibri" w:hAnsi="Calibri" w:cs="Calibri"/>
                <w:sz w:val="22"/>
                <w:szCs w:val="22"/>
              </w:rPr>
              <w:t>61.2%</w:t>
            </w:r>
          </w:p>
        </w:tc>
        <w:tc>
          <w:tcPr>
            <w:tcW w:w="1380" w:type="dxa"/>
            <w:tcBorders>
              <w:top w:val="nil"/>
              <w:left w:val="nil"/>
              <w:bottom w:val="nil"/>
              <w:right w:val="nil"/>
            </w:tcBorders>
            <w:shd w:val="clear" w:color="auto" w:fill="auto"/>
            <w:noWrap/>
            <w:vAlign w:val="bottom"/>
            <w:hideMark/>
          </w:tcPr>
          <w:p w14:paraId="209B2146" w14:textId="77777777" w:rsidR="0013326E" w:rsidRDefault="0013326E">
            <w:pPr>
              <w:jc w:val="right"/>
              <w:rPr>
                <w:rFonts w:ascii="Calibri" w:hAnsi="Calibri" w:cs="Calibri"/>
                <w:sz w:val="22"/>
                <w:szCs w:val="22"/>
              </w:rPr>
            </w:pPr>
            <w:r>
              <w:rPr>
                <w:rFonts w:ascii="Calibri" w:hAnsi="Calibri" w:cs="Calibri"/>
                <w:sz w:val="22"/>
                <w:szCs w:val="22"/>
              </w:rPr>
              <w:t>38.8%</w:t>
            </w:r>
          </w:p>
        </w:tc>
      </w:tr>
      <w:tr w:rsidR="0013326E" w14:paraId="6E845417" w14:textId="77777777" w:rsidTr="0013326E">
        <w:trPr>
          <w:gridAfter w:val="1"/>
          <w:wAfter w:w="11" w:type="dxa"/>
          <w:trHeight w:val="300"/>
        </w:trPr>
        <w:tc>
          <w:tcPr>
            <w:tcW w:w="880" w:type="dxa"/>
            <w:gridSpan w:val="2"/>
            <w:tcBorders>
              <w:top w:val="nil"/>
              <w:left w:val="nil"/>
              <w:bottom w:val="nil"/>
              <w:right w:val="nil"/>
            </w:tcBorders>
            <w:shd w:val="clear" w:color="auto" w:fill="auto"/>
            <w:noWrap/>
            <w:vAlign w:val="bottom"/>
            <w:hideMark/>
          </w:tcPr>
          <w:p w14:paraId="27AEA35F" w14:textId="77777777" w:rsidR="0013326E" w:rsidRDefault="0013326E">
            <w:pPr>
              <w:rPr>
                <w:rFonts w:ascii="Calibri" w:hAnsi="Calibri" w:cs="Calibri"/>
                <w:sz w:val="22"/>
                <w:szCs w:val="22"/>
              </w:rPr>
            </w:pPr>
            <w:r>
              <w:rPr>
                <w:rFonts w:ascii="Calibri" w:hAnsi="Calibri" w:cs="Calibri"/>
                <w:sz w:val="22"/>
                <w:szCs w:val="22"/>
              </w:rPr>
              <w:lastRenderedPageBreak/>
              <w:t>5</w:t>
            </w:r>
          </w:p>
        </w:tc>
        <w:tc>
          <w:tcPr>
            <w:tcW w:w="1380" w:type="dxa"/>
            <w:gridSpan w:val="2"/>
            <w:tcBorders>
              <w:top w:val="nil"/>
              <w:left w:val="nil"/>
              <w:bottom w:val="nil"/>
              <w:right w:val="nil"/>
            </w:tcBorders>
            <w:shd w:val="clear" w:color="auto" w:fill="auto"/>
            <w:noWrap/>
            <w:vAlign w:val="bottom"/>
            <w:hideMark/>
          </w:tcPr>
          <w:p w14:paraId="71BE4541" w14:textId="77777777" w:rsidR="0013326E" w:rsidRDefault="0013326E">
            <w:pPr>
              <w:jc w:val="right"/>
              <w:rPr>
                <w:rFonts w:ascii="Calibri" w:hAnsi="Calibri" w:cs="Calibri"/>
                <w:sz w:val="22"/>
                <w:szCs w:val="22"/>
              </w:rPr>
            </w:pPr>
            <w:r>
              <w:rPr>
                <w:rFonts w:ascii="Calibri" w:hAnsi="Calibri" w:cs="Calibri"/>
                <w:sz w:val="22"/>
                <w:szCs w:val="22"/>
              </w:rPr>
              <w:t>0.429913</w:t>
            </w:r>
          </w:p>
        </w:tc>
        <w:tc>
          <w:tcPr>
            <w:tcW w:w="1380" w:type="dxa"/>
            <w:gridSpan w:val="2"/>
            <w:tcBorders>
              <w:top w:val="nil"/>
              <w:left w:val="nil"/>
              <w:bottom w:val="nil"/>
              <w:right w:val="nil"/>
            </w:tcBorders>
            <w:shd w:val="clear" w:color="auto" w:fill="auto"/>
            <w:noWrap/>
            <w:vAlign w:val="bottom"/>
            <w:hideMark/>
          </w:tcPr>
          <w:p w14:paraId="2B73D556" w14:textId="77777777" w:rsidR="0013326E" w:rsidRDefault="0013326E">
            <w:pPr>
              <w:jc w:val="right"/>
              <w:rPr>
                <w:rFonts w:ascii="Calibri" w:hAnsi="Calibri" w:cs="Calibri"/>
                <w:sz w:val="22"/>
                <w:szCs w:val="22"/>
              </w:rPr>
            </w:pPr>
            <w:r>
              <w:rPr>
                <w:rFonts w:ascii="Calibri" w:hAnsi="Calibri" w:cs="Calibri"/>
                <w:sz w:val="22"/>
                <w:szCs w:val="22"/>
              </w:rPr>
              <w:t>0.55541</w:t>
            </w:r>
          </w:p>
        </w:tc>
        <w:tc>
          <w:tcPr>
            <w:tcW w:w="1320" w:type="dxa"/>
            <w:gridSpan w:val="2"/>
            <w:tcBorders>
              <w:top w:val="nil"/>
              <w:left w:val="nil"/>
              <w:bottom w:val="nil"/>
              <w:right w:val="nil"/>
            </w:tcBorders>
            <w:shd w:val="clear" w:color="auto" w:fill="auto"/>
            <w:noWrap/>
            <w:vAlign w:val="bottom"/>
            <w:hideMark/>
          </w:tcPr>
          <w:p w14:paraId="15CC0E80" w14:textId="77777777" w:rsidR="0013326E" w:rsidRDefault="0013326E">
            <w:pPr>
              <w:jc w:val="right"/>
              <w:rPr>
                <w:rFonts w:ascii="Calibri" w:hAnsi="Calibri" w:cs="Calibri"/>
                <w:sz w:val="22"/>
                <w:szCs w:val="22"/>
              </w:rPr>
            </w:pPr>
            <w:r>
              <w:rPr>
                <w:rFonts w:ascii="Calibri" w:hAnsi="Calibri" w:cs="Calibri"/>
                <w:sz w:val="22"/>
                <w:szCs w:val="22"/>
              </w:rPr>
              <w:t>0.459577</w:t>
            </w:r>
          </w:p>
        </w:tc>
        <w:tc>
          <w:tcPr>
            <w:tcW w:w="1300" w:type="dxa"/>
            <w:tcBorders>
              <w:top w:val="nil"/>
              <w:left w:val="nil"/>
              <w:bottom w:val="nil"/>
              <w:right w:val="nil"/>
            </w:tcBorders>
            <w:shd w:val="clear" w:color="auto" w:fill="auto"/>
            <w:noWrap/>
            <w:vAlign w:val="bottom"/>
            <w:hideMark/>
          </w:tcPr>
          <w:p w14:paraId="5054F833" w14:textId="77777777" w:rsidR="0013326E" w:rsidRDefault="0013326E">
            <w:pPr>
              <w:jc w:val="right"/>
              <w:rPr>
                <w:rFonts w:ascii="Calibri" w:hAnsi="Calibri" w:cs="Calibri"/>
                <w:sz w:val="22"/>
                <w:szCs w:val="22"/>
              </w:rPr>
            </w:pPr>
            <w:r>
              <w:rPr>
                <w:rFonts w:ascii="Calibri" w:hAnsi="Calibri" w:cs="Calibri"/>
                <w:sz w:val="22"/>
                <w:szCs w:val="22"/>
              </w:rPr>
              <w:t>0.539545</w:t>
            </w:r>
          </w:p>
        </w:tc>
        <w:tc>
          <w:tcPr>
            <w:tcW w:w="1380" w:type="dxa"/>
            <w:gridSpan w:val="2"/>
            <w:tcBorders>
              <w:top w:val="nil"/>
              <w:left w:val="nil"/>
              <w:bottom w:val="nil"/>
              <w:right w:val="nil"/>
            </w:tcBorders>
            <w:shd w:val="clear" w:color="auto" w:fill="auto"/>
            <w:noWrap/>
            <w:vAlign w:val="bottom"/>
            <w:hideMark/>
          </w:tcPr>
          <w:p w14:paraId="66C2A31A" w14:textId="77777777" w:rsidR="0013326E" w:rsidRDefault="0013326E">
            <w:pPr>
              <w:jc w:val="right"/>
              <w:rPr>
                <w:rFonts w:ascii="Calibri" w:hAnsi="Calibri" w:cs="Calibri"/>
                <w:sz w:val="22"/>
                <w:szCs w:val="22"/>
              </w:rPr>
            </w:pPr>
            <w:r>
              <w:rPr>
                <w:rFonts w:ascii="Calibri" w:hAnsi="Calibri" w:cs="Calibri"/>
                <w:sz w:val="22"/>
                <w:szCs w:val="22"/>
              </w:rPr>
              <w:t>41.7%</w:t>
            </w:r>
          </w:p>
        </w:tc>
        <w:tc>
          <w:tcPr>
            <w:tcW w:w="1380" w:type="dxa"/>
            <w:tcBorders>
              <w:top w:val="nil"/>
              <w:left w:val="nil"/>
              <w:bottom w:val="nil"/>
              <w:right w:val="nil"/>
            </w:tcBorders>
            <w:shd w:val="clear" w:color="auto" w:fill="auto"/>
            <w:noWrap/>
            <w:vAlign w:val="bottom"/>
            <w:hideMark/>
          </w:tcPr>
          <w:p w14:paraId="53F80FD6" w14:textId="77777777" w:rsidR="0013326E" w:rsidRDefault="0013326E">
            <w:pPr>
              <w:jc w:val="right"/>
              <w:rPr>
                <w:rFonts w:ascii="Calibri" w:hAnsi="Calibri" w:cs="Calibri"/>
                <w:sz w:val="22"/>
                <w:szCs w:val="22"/>
              </w:rPr>
            </w:pPr>
            <w:r>
              <w:rPr>
                <w:rFonts w:ascii="Calibri" w:hAnsi="Calibri" w:cs="Calibri"/>
                <w:sz w:val="22"/>
                <w:szCs w:val="22"/>
              </w:rPr>
              <w:t>58.3%</w:t>
            </w:r>
          </w:p>
        </w:tc>
      </w:tr>
      <w:tr w:rsidR="0013326E" w14:paraId="20A8F8B0" w14:textId="77777777" w:rsidTr="0013326E">
        <w:trPr>
          <w:gridAfter w:val="1"/>
          <w:wAfter w:w="11" w:type="dxa"/>
          <w:trHeight w:val="300"/>
        </w:trPr>
        <w:tc>
          <w:tcPr>
            <w:tcW w:w="880" w:type="dxa"/>
            <w:gridSpan w:val="2"/>
            <w:tcBorders>
              <w:top w:val="nil"/>
              <w:left w:val="nil"/>
              <w:bottom w:val="nil"/>
              <w:right w:val="nil"/>
            </w:tcBorders>
            <w:shd w:val="clear" w:color="auto" w:fill="auto"/>
            <w:noWrap/>
            <w:vAlign w:val="bottom"/>
            <w:hideMark/>
          </w:tcPr>
          <w:p w14:paraId="659ADDE8" w14:textId="77777777" w:rsidR="0013326E" w:rsidRDefault="0013326E">
            <w:pPr>
              <w:rPr>
                <w:rFonts w:ascii="Calibri" w:hAnsi="Calibri" w:cs="Calibri"/>
                <w:sz w:val="22"/>
                <w:szCs w:val="22"/>
              </w:rPr>
            </w:pPr>
            <w:r>
              <w:rPr>
                <w:rFonts w:ascii="Calibri" w:hAnsi="Calibri" w:cs="Calibri"/>
                <w:sz w:val="22"/>
                <w:szCs w:val="22"/>
              </w:rPr>
              <w:t>6</w:t>
            </w:r>
          </w:p>
        </w:tc>
        <w:tc>
          <w:tcPr>
            <w:tcW w:w="1380" w:type="dxa"/>
            <w:gridSpan w:val="2"/>
            <w:tcBorders>
              <w:top w:val="nil"/>
              <w:left w:val="nil"/>
              <w:bottom w:val="nil"/>
              <w:right w:val="nil"/>
            </w:tcBorders>
            <w:shd w:val="clear" w:color="auto" w:fill="auto"/>
            <w:noWrap/>
            <w:vAlign w:val="bottom"/>
            <w:hideMark/>
          </w:tcPr>
          <w:p w14:paraId="013FE853" w14:textId="77777777" w:rsidR="0013326E" w:rsidRDefault="0013326E">
            <w:pPr>
              <w:jc w:val="right"/>
              <w:rPr>
                <w:rFonts w:ascii="Calibri" w:hAnsi="Calibri" w:cs="Calibri"/>
                <w:sz w:val="22"/>
                <w:szCs w:val="22"/>
              </w:rPr>
            </w:pPr>
            <w:r>
              <w:rPr>
                <w:rFonts w:ascii="Calibri" w:hAnsi="Calibri" w:cs="Calibri"/>
                <w:sz w:val="22"/>
                <w:szCs w:val="22"/>
              </w:rPr>
              <w:t>0.433861</w:t>
            </w:r>
          </w:p>
        </w:tc>
        <w:tc>
          <w:tcPr>
            <w:tcW w:w="1380" w:type="dxa"/>
            <w:gridSpan w:val="2"/>
            <w:tcBorders>
              <w:top w:val="nil"/>
              <w:left w:val="nil"/>
              <w:bottom w:val="nil"/>
              <w:right w:val="nil"/>
            </w:tcBorders>
            <w:shd w:val="clear" w:color="auto" w:fill="auto"/>
            <w:noWrap/>
            <w:vAlign w:val="bottom"/>
            <w:hideMark/>
          </w:tcPr>
          <w:p w14:paraId="0BC05FDE" w14:textId="77777777" w:rsidR="0013326E" w:rsidRDefault="0013326E">
            <w:pPr>
              <w:jc w:val="right"/>
              <w:rPr>
                <w:rFonts w:ascii="Calibri" w:hAnsi="Calibri" w:cs="Calibri"/>
                <w:sz w:val="22"/>
                <w:szCs w:val="22"/>
              </w:rPr>
            </w:pPr>
            <w:r>
              <w:rPr>
                <w:rFonts w:ascii="Calibri" w:hAnsi="Calibri" w:cs="Calibri"/>
                <w:sz w:val="22"/>
                <w:szCs w:val="22"/>
              </w:rPr>
              <w:t>0.54571</w:t>
            </w:r>
          </w:p>
        </w:tc>
        <w:tc>
          <w:tcPr>
            <w:tcW w:w="1320" w:type="dxa"/>
            <w:gridSpan w:val="2"/>
            <w:tcBorders>
              <w:top w:val="nil"/>
              <w:left w:val="nil"/>
              <w:bottom w:val="nil"/>
              <w:right w:val="nil"/>
            </w:tcBorders>
            <w:shd w:val="clear" w:color="auto" w:fill="auto"/>
            <w:noWrap/>
            <w:vAlign w:val="bottom"/>
            <w:hideMark/>
          </w:tcPr>
          <w:p w14:paraId="6E2A8577" w14:textId="77777777" w:rsidR="0013326E" w:rsidRDefault="0013326E">
            <w:pPr>
              <w:jc w:val="right"/>
              <w:rPr>
                <w:rFonts w:ascii="Calibri" w:hAnsi="Calibri" w:cs="Calibri"/>
                <w:sz w:val="22"/>
                <w:szCs w:val="22"/>
              </w:rPr>
            </w:pPr>
            <w:r>
              <w:rPr>
                <w:rFonts w:ascii="Calibri" w:hAnsi="Calibri" w:cs="Calibri"/>
                <w:sz w:val="22"/>
                <w:szCs w:val="22"/>
              </w:rPr>
              <w:t>0.463666</w:t>
            </w:r>
          </w:p>
        </w:tc>
        <w:tc>
          <w:tcPr>
            <w:tcW w:w="1300" w:type="dxa"/>
            <w:tcBorders>
              <w:top w:val="nil"/>
              <w:left w:val="nil"/>
              <w:bottom w:val="nil"/>
              <w:right w:val="nil"/>
            </w:tcBorders>
            <w:shd w:val="clear" w:color="auto" w:fill="auto"/>
            <w:noWrap/>
            <w:vAlign w:val="bottom"/>
            <w:hideMark/>
          </w:tcPr>
          <w:p w14:paraId="704F05F3" w14:textId="77777777" w:rsidR="0013326E" w:rsidRDefault="0013326E">
            <w:pPr>
              <w:jc w:val="right"/>
              <w:rPr>
                <w:rFonts w:ascii="Calibri" w:hAnsi="Calibri" w:cs="Calibri"/>
                <w:sz w:val="22"/>
                <w:szCs w:val="22"/>
              </w:rPr>
            </w:pPr>
            <w:r>
              <w:rPr>
                <w:rFonts w:ascii="Calibri" w:hAnsi="Calibri" w:cs="Calibri"/>
                <w:sz w:val="22"/>
                <w:szCs w:val="22"/>
              </w:rPr>
              <w:t>0.535475</w:t>
            </w:r>
          </w:p>
        </w:tc>
        <w:tc>
          <w:tcPr>
            <w:tcW w:w="1380" w:type="dxa"/>
            <w:gridSpan w:val="2"/>
            <w:tcBorders>
              <w:top w:val="nil"/>
              <w:left w:val="nil"/>
              <w:bottom w:val="nil"/>
              <w:right w:val="nil"/>
            </w:tcBorders>
            <w:shd w:val="clear" w:color="auto" w:fill="auto"/>
            <w:noWrap/>
            <w:vAlign w:val="bottom"/>
            <w:hideMark/>
          </w:tcPr>
          <w:p w14:paraId="22A42A19" w14:textId="77777777" w:rsidR="0013326E" w:rsidRDefault="0013326E">
            <w:pPr>
              <w:jc w:val="right"/>
              <w:rPr>
                <w:rFonts w:ascii="Calibri" w:hAnsi="Calibri" w:cs="Calibri"/>
                <w:sz w:val="22"/>
                <w:szCs w:val="22"/>
              </w:rPr>
            </w:pPr>
            <w:r>
              <w:rPr>
                <w:rFonts w:ascii="Calibri" w:hAnsi="Calibri" w:cs="Calibri"/>
                <w:sz w:val="22"/>
                <w:szCs w:val="22"/>
              </w:rPr>
              <w:t>42.0%</w:t>
            </w:r>
          </w:p>
        </w:tc>
        <w:tc>
          <w:tcPr>
            <w:tcW w:w="1380" w:type="dxa"/>
            <w:tcBorders>
              <w:top w:val="nil"/>
              <w:left w:val="nil"/>
              <w:bottom w:val="nil"/>
              <w:right w:val="nil"/>
            </w:tcBorders>
            <w:shd w:val="clear" w:color="auto" w:fill="auto"/>
            <w:noWrap/>
            <w:vAlign w:val="bottom"/>
            <w:hideMark/>
          </w:tcPr>
          <w:p w14:paraId="0EEFCD70" w14:textId="77777777" w:rsidR="0013326E" w:rsidRDefault="0013326E">
            <w:pPr>
              <w:jc w:val="right"/>
              <w:rPr>
                <w:rFonts w:ascii="Calibri" w:hAnsi="Calibri" w:cs="Calibri"/>
                <w:sz w:val="22"/>
                <w:szCs w:val="22"/>
              </w:rPr>
            </w:pPr>
            <w:r>
              <w:rPr>
                <w:rFonts w:ascii="Calibri" w:hAnsi="Calibri" w:cs="Calibri"/>
                <w:sz w:val="22"/>
                <w:szCs w:val="22"/>
              </w:rPr>
              <w:t>58.0%</w:t>
            </w:r>
          </w:p>
        </w:tc>
      </w:tr>
      <w:tr w:rsidR="0013326E" w14:paraId="51D09456" w14:textId="77777777" w:rsidTr="0013326E">
        <w:trPr>
          <w:gridAfter w:val="1"/>
          <w:wAfter w:w="11" w:type="dxa"/>
          <w:trHeight w:val="300"/>
        </w:trPr>
        <w:tc>
          <w:tcPr>
            <w:tcW w:w="880" w:type="dxa"/>
            <w:gridSpan w:val="2"/>
            <w:tcBorders>
              <w:top w:val="nil"/>
              <w:left w:val="nil"/>
              <w:bottom w:val="nil"/>
              <w:right w:val="nil"/>
            </w:tcBorders>
            <w:shd w:val="clear" w:color="auto" w:fill="auto"/>
            <w:noWrap/>
            <w:vAlign w:val="bottom"/>
            <w:hideMark/>
          </w:tcPr>
          <w:p w14:paraId="0D5937DB" w14:textId="77777777" w:rsidR="0013326E" w:rsidRDefault="0013326E">
            <w:pPr>
              <w:rPr>
                <w:rFonts w:ascii="Calibri" w:hAnsi="Calibri" w:cs="Calibri"/>
                <w:sz w:val="22"/>
                <w:szCs w:val="22"/>
              </w:rPr>
            </w:pPr>
            <w:r>
              <w:rPr>
                <w:rFonts w:ascii="Calibri" w:hAnsi="Calibri" w:cs="Calibri"/>
                <w:sz w:val="22"/>
                <w:szCs w:val="22"/>
              </w:rPr>
              <w:t>7</w:t>
            </w:r>
          </w:p>
        </w:tc>
        <w:tc>
          <w:tcPr>
            <w:tcW w:w="1380" w:type="dxa"/>
            <w:gridSpan w:val="2"/>
            <w:tcBorders>
              <w:top w:val="nil"/>
              <w:left w:val="nil"/>
              <w:bottom w:val="nil"/>
              <w:right w:val="nil"/>
            </w:tcBorders>
            <w:shd w:val="clear" w:color="auto" w:fill="auto"/>
            <w:noWrap/>
            <w:vAlign w:val="bottom"/>
            <w:hideMark/>
          </w:tcPr>
          <w:p w14:paraId="32C07DB6" w14:textId="77777777" w:rsidR="0013326E" w:rsidRDefault="0013326E">
            <w:pPr>
              <w:jc w:val="right"/>
              <w:rPr>
                <w:rFonts w:ascii="Calibri" w:hAnsi="Calibri" w:cs="Calibri"/>
                <w:sz w:val="22"/>
                <w:szCs w:val="22"/>
              </w:rPr>
            </w:pPr>
            <w:r>
              <w:rPr>
                <w:rFonts w:ascii="Calibri" w:hAnsi="Calibri" w:cs="Calibri"/>
                <w:sz w:val="22"/>
                <w:szCs w:val="22"/>
              </w:rPr>
              <w:t>0.455233</w:t>
            </w:r>
          </w:p>
        </w:tc>
        <w:tc>
          <w:tcPr>
            <w:tcW w:w="1380" w:type="dxa"/>
            <w:gridSpan w:val="2"/>
            <w:tcBorders>
              <w:top w:val="nil"/>
              <w:left w:val="nil"/>
              <w:bottom w:val="nil"/>
              <w:right w:val="nil"/>
            </w:tcBorders>
            <w:shd w:val="clear" w:color="auto" w:fill="auto"/>
            <w:noWrap/>
            <w:vAlign w:val="bottom"/>
            <w:hideMark/>
          </w:tcPr>
          <w:p w14:paraId="1DA38EF4" w14:textId="77777777" w:rsidR="0013326E" w:rsidRDefault="0013326E">
            <w:pPr>
              <w:jc w:val="right"/>
              <w:rPr>
                <w:rFonts w:ascii="Calibri" w:hAnsi="Calibri" w:cs="Calibri"/>
                <w:sz w:val="22"/>
                <w:szCs w:val="22"/>
              </w:rPr>
            </w:pPr>
            <w:r>
              <w:rPr>
                <w:rFonts w:ascii="Calibri" w:hAnsi="Calibri" w:cs="Calibri"/>
                <w:sz w:val="22"/>
                <w:szCs w:val="22"/>
              </w:rPr>
              <w:t>0.524944</w:t>
            </w:r>
          </w:p>
        </w:tc>
        <w:tc>
          <w:tcPr>
            <w:tcW w:w="1320" w:type="dxa"/>
            <w:gridSpan w:val="2"/>
            <w:tcBorders>
              <w:top w:val="nil"/>
              <w:left w:val="nil"/>
              <w:bottom w:val="nil"/>
              <w:right w:val="nil"/>
            </w:tcBorders>
            <w:shd w:val="clear" w:color="auto" w:fill="auto"/>
            <w:noWrap/>
            <w:vAlign w:val="bottom"/>
            <w:hideMark/>
          </w:tcPr>
          <w:p w14:paraId="26AFE655" w14:textId="77777777" w:rsidR="0013326E" w:rsidRDefault="0013326E">
            <w:pPr>
              <w:jc w:val="right"/>
              <w:rPr>
                <w:rFonts w:ascii="Calibri" w:hAnsi="Calibri" w:cs="Calibri"/>
                <w:sz w:val="22"/>
                <w:szCs w:val="22"/>
              </w:rPr>
            </w:pPr>
            <w:r>
              <w:rPr>
                <w:rFonts w:ascii="Calibri" w:hAnsi="Calibri" w:cs="Calibri"/>
                <w:sz w:val="22"/>
                <w:szCs w:val="22"/>
              </w:rPr>
              <w:t>0.473189</w:t>
            </w:r>
          </w:p>
        </w:tc>
        <w:tc>
          <w:tcPr>
            <w:tcW w:w="1300" w:type="dxa"/>
            <w:tcBorders>
              <w:top w:val="nil"/>
              <w:left w:val="nil"/>
              <w:bottom w:val="nil"/>
              <w:right w:val="nil"/>
            </w:tcBorders>
            <w:shd w:val="clear" w:color="auto" w:fill="auto"/>
            <w:noWrap/>
            <w:vAlign w:val="bottom"/>
            <w:hideMark/>
          </w:tcPr>
          <w:p w14:paraId="45240D7D" w14:textId="77777777" w:rsidR="0013326E" w:rsidRDefault="0013326E">
            <w:pPr>
              <w:jc w:val="right"/>
              <w:rPr>
                <w:rFonts w:ascii="Calibri" w:hAnsi="Calibri" w:cs="Calibri"/>
                <w:sz w:val="22"/>
                <w:szCs w:val="22"/>
              </w:rPr>
            </w:pPr>
            <w:r>
              <w:rPr>
                <w:rFonts w:ascii="Calibri" w:hAnsi="Calibri" w:cs="Calibri"/>
                <w:sz w:val="22"/>
                <w:szCs w:val="22"/>
              </w:rPr>
              <w:t>0.525923</w:t>
            </w:r>
          </w:p>
        </w:tc>
        <w:tc>
          <w:tcPr>
            <w:tcW w:w="1380" w:type="dxa"/>
            <w:gridSpan w:val="2"/>
            <w:tcBorders>
              <w:top w:val="nil"/>
              <w:left w:val="nil"/>
              <w:bottom w:val="nil"/>
              <w:right w:val="nil"/>
            </w:tcBorders>
            <w:shd w:val="clear" w:color="auto" w:fill="auto"/>
            <w:noWrap/>
            <w:vAlign w:val="bottom"/>
            <w:hideMark/>
          </w:tcPr>
          <w:p w14:paraId="1326609C" w14:textId="77777777" w:rsidR="0013326E" w:rsidRDefault="0013326E">
            <w:pPr>
              <w:jc w:val="right"/>
              <w:rPr>
                <w:rFonts w:ascii="Calibri" w:hAnsi="Calibri" w:cs="Calibri"/>
                <w:sz w:val="22"/>
                <w:szCs w:val="22"/>
              </w:rPr>
            </w:pPr>
            <w:r>
              <w:rPr>
                <w:rFonts w:ascii="Calibri" w:hAnsi="Calibri" w:cs="Calibri"/>
                <w:sz w:val="22"/>
                <w:szCs w:val="22"/>
              </w:rPr>
              <w:t>43.8%</w:t>
            </w:r>
          </w:p>
        </w:tc>
        <w:tc>
          <w:tcPr>
            <w:tcW w:w="1380" w:type="dxa"/>
            <w:tcBorders>
              <w:top w:val="nil"/>
              <w:left w:val="nil"/>
              <w:bottom w:val="nil"/>
              <w:right w:val="nil"/>
            </w:tcBorders>
            <w:shd w:val="clear" w:color="auto" w:fill="auto"/>
            <w:noWrap/>
            <w:vAlign w:val="bottom"/>
            <w:hideMark/>
          </w:tcPr>
          <w:p w14:paraId="4254FF3D" w14:textId="77777777" w:rsidR="0013326E" w:rsidRDefault="0013326E">
            <w:pPr>
              <w:jc w:val="right"/>
              <w:rPr>
                <w:rFonts w:ascii="Calibri" w:hAnsi="Calibri" w:cs="Calibri"/>
                <w:sz w:val="22"/>
                <w:szCs w:val="22"/>
              </w:rPr>
            </w:pPr>
            <w:r>
              <w:rPr>
                <w:rFonts w:ascii="Calibri" w:hAnsi="Calibri" w:cs="Calibri"/>
                <w:sz w:val="22"/>
                <w:szCs w:val="22"/>
              </w:rPr>
              <w:t>56.2%</w:t>
            </w:r>
          </w:p>
        </w:tc>
      </w:tr>
      <w:tr w:rsidR="0013326E" w14:paraId="57B738FA" w14:textId="77777777" w:rsidTr="0013326E">
        <w:trPr>
          <w:gridAfter w:val="1"/>
          <w:wAfter w:w="11" w:type="dxa"/>
          <w:trHeight w:val="300"/>
        </w:trPr>
        <w:tc>
          <w:tcPr>
            <w:tcW w:w="880" w:type="dxa"/>
            <w:gridSpan w:val="2"/>
            <w:tcBorders>
              <w:top w:val="nil"/>
              <w:left w:val="nil"/>
              <w:bottom w:val="nil"/>
              <w:right w:val="nil"/>
            </w:tcBorders>
            <w:shd w:val="clear" w:color="auto" w:fill="auto"/>
            <w:noWrap/>
            <w:vAlign w:val="bottom"/>
            <w:hideMark/>
          </w:tcPr>
          <w:p w14:paraId="49D78487" w14:textId="77777777" w:rsidR="0013326E" w:rsidRDefault="0013326E">
            <w:pPr>
              <w:rPr>
                <w:rFonts w:ascii="Calibri" w:hAnsi="Calibri" w:cs="Calibri"/>
                <w:sz w:val="22"/>
                <w:szCs w:val="22"/>
              </w:rPr>
            </w:pPr>
            <w:r>
              <w:rPr>
                <w:rFonts w:ascii="Calibri" w:hAnsi="Calibri" w:cs="Calibri"/>
                <w:sz w:val="22"/>
                <w:szCs w:val="22"/>
              </w:rPr>
              <w:t>8</w:t>
            </w:r>
          </w:p>
        </w:tc>
        <w:tc>
          <w:tcPr>
            <w:tcW w:w="1380" w:type="dxa"/>
            <w:gridSpan w:val="2"/>
            <w:tcBorders>
              <w:top w:val="nil"/>
              <w:left w:val="nil"/>
              <w:bottom w:val="nil"/>
              <w:right w:val="nil"/>
            </w:tcBorders>
            <w:shd w:val="clear" w:color="auto" w:fill="auto"/>
            <w:noWrap/>
            <w:vAlign w:val="bottom"/>
            <w:hideMark/>
          </w:tcPr>
          <w:p w14:paraId="6C040E59" w14:textId="77777777" w:rsidR="0013326E" w:rsidRDefault="0013326E">
            <w:pPr>
              <w:jc w:val="right"/>
              <w:rPr>
                <w:rFonts w:ascii="Calibri" w:hAnsi="Calibri" w:cs="Calibri"/>
                <w:sz w:val="22"/>
                <w:szCs w:val="22"/>
              </w:rPr>
            </w:pPr>
            <w:r>
              <w:rPr>
                <w:rFonts w:ascii="Calibri" w:hAnsi="Calibri" w:cs="Calibri"/>
                <w:sz w:val="22"/>
                <w:szCs w:val="22"/>
              </w:rPr>
              <w:t>0.769549</w:t>
            </w:r>
          </w:p>
        </w:tc>
        <w:tc>
          <w:tcPr>
            <w:tcW w:w="1380" w:type="dxa"/>
            <w:gridSpan w:val="2"/>
            <w:tcBorders>
              <w:top w:val="nil"/>
              <w:left w:val="nil"/>
              <w:bottom w:val="nil"/>
              <w:right w:val="nil"/>
            </w:tcBorders>
            <w:shd w:val="clear" w:color="auto" w:fill="auto"/>
            <w:noWrap/>
            <w:vAlign w:val="bottom"/>
            <w:hideMark/>
          </w:tcPr>
          <w:p w14:paraId="72A76E54" w14:textId="77777777" w:rsidR="0013326E" w:rsidRDefault="0013326E">
            <w:pPr>
              <w:jc w:val="right"/>
              <w:rPr>
                <w:rFonts w:ascii="Calibri" w:hAnsi="Calibri" w:cs="Calibri"/>
                <w:sz w:val="22"/>
                <w:szCs w:val="22"/>
              </w:rPr>
            </w:pPr>
            <w:r>
              <w:rPr>
                <w:rFonts w:ascii="Calibri" w:hAnsi="Calibri" w:cs="Calibri"/>
                <w:sz w:val="22"/>
                <w:szCs w:val="22"/>
              </w:rPr>
              <w:t>0.209129</w:t>
            </w:r>
          </w:p>
        </w:tc>
        <w:tc>
          <w:tcPr>
            <w:tcW w:w="1320" w:type="dxa"/>
            <w:gridSpan w:val="2"/>
            <w:tcBorders>
              <w:top w:val="nil"/>
              <w:left w:val="nil"/>
              <w:bottom w:val="nil"/>
              <w:right w:val="nil"/>
            </w:tcBorders>
            <w:shd w:val="clear" w:color="auto" w:fill="auto"/>
            <w:noWrap/>
            <w:vAlign w:val="bottom"/>
            <w:hideMark/>
          </w:tcPr>
          <w:p w14:paraId="1C40926A" w14:textId="77777777" w:rsidR="0013326E" w:rsidRDefault="0013326E">
            <w:pPr>
              <w:jc w:val="right"/>
              <w:rPr>
                <w:rFonts w:ascii="Calibri" w:hAnsi="Calibri" w:cs="Calibri"/>
                <w:sz w:val="22"/>
                <w:szCs w:val="22"/>
              </w:rPr>
            </w:pPr>
            <w:r>
              <w:rPr>
                <w:rFonts w:ascii="Calibri" w:hAnsi="Calibri" w:cs="Calibri"/>
                <w:sz w:val="22"/>
                <w:szCs w:val="22"/>
              </w:rPr>
              <w:t>0.764409</w:t>
            </w:r>
          </w:p>
        </w:tc>
        <w:tc>
          <w:tcPr>
            <w:tcW w:w="1300" w:type="dxa"/>
            <w:tcBorders>
              <w:top w:val="nil"/>
              <w:left w:val="nil"/>
              <w:bottom w:val="nil"/>
              <w:right w:val="nil"/>
            </w:tcBorders>
            <w:shd w:val="clear" w:color="auto" w:fill="auto"/>
            <w:noWrap/>
            <w:vAlign w:val="bottom"/>
            <w:hideMark/>
          </w:tcPr>
          <w:p w14:paraId="743DB6C2" w14:textId="77777777" w:rsidR="0013326E" w:rsidRDefault="0013326E">
            <w:pPr>
              <w:jc w:val="right"/>
              <w:rPr>
                <w:rFonts w:ascii="Calibri" w:hAnsi="Calibri" w:cs="Calibri"/>
                <w:sz w:val="22"/>
                <w:szCs w:val="22"/>
              </w:rPr>
            </w:pPr>
            <w:r>
              <w:rPr>
                <w:rFonts w:ascii="Calibri" w:hAnsi="Calibri" w:cs="Calibri"/>
                <w:sz w:val="22"/>
                <w:szCs w:val="22"/>
              </w:rPr>
              <w:t>0.234335</w:t>
            </w:r>
          </w:p>
        </w:tc>
        <w:tc>
          <w:tcPr>
            <w:tcW w:w="1380" w:type="dxa"/>
            <w:gridSpan w:val="2"/>
            <w:tcBorders>
              <w:top w:val="nil"/>
              <w:left w:val="nil"/>
              <w:bottom w:val="nil"/>
              <w:right w:val="nil"/>
            </w:tcBorders>
            <w:shd w:val="clear" w:color="auto" w:fill="auto"/>
            <w:noWrap/>
            <w:vAlign w:val="bottom"/>
            <w:hideMark/>
          </w:tcPr>
          <w:p w14:paraId="7E9930E6" w14:textId="77777777" w:rsidR="0013326E" w:rsidRDefault="0013326E">
            <w:pPr>
              <w:jc w:val="right"/>
              <w:rPr>
                <w:rFonts w:ascii="Calibri" w:hAnsi="Calibri" w:cs="Calibri"/>
                <w:sz w:val="22"/>
                <w:szCs w:val="22"/>
              </w:rPr>
            </w:pPr>
            <w:r>
              <w:rPr>
                <w:rFonts w:ascii="Calibri" w:hAnsi="Calibri" w:cs="Calibri"/>
                <w:sz w:val="22"/>
                <w:szCs w:val="22"/>
              </w:rPr>
              <w:t>77.9%</w:t>
            </w:r>
          </w:p>
        </w:tc>
        <w:tc>
          <w:tcPr>
            <w:tcW w:w="1380" w:type="dxa"/>
            <w:tcBorders>
              <w:top w:val="nil"/>
              <w:left w:val="nil"/>
              <w:bottom w:val="nil"/>
              <w:right w:val="nil"/>
            </w:tcBorders>
            <w:shd w:val="clear" w:color="auto" w:fill="auto"/>
            <w:noWrap/>
            <w:vAlign w:val="bottom"/>
            <w:hideMark/>
          </w:tcPr>
          <w:p w14:paraId="55F5F4A5" w14:textId="77777777" w:rsidR="0013326E" w:rsidRDefault="0013326E">
            <w:pPr>
              <w:jc w:val="right"/>
              <w:rPr>
                <w:rFonts w:ascii="Calibri" w:hAnsi="Calibri" w:cs="Calibri"/>
                <w:sz w:val="22"/>
                <w:szCs w:val="22"/>
              </w:rPr>
            </w:pPr>
            <w:r>
              <w:rPr>
                <w:rFonts w:ascii="Calibri" w:hAnsi="Calibri" w:cs="Calibri"/>
                <w:sz w:val="22"/>
                <w:szCs w:val="22"/>
              </w:rPr>
              <w:t>22.1%</w:t>
            </w:r>
          </w:p>
        </w:tc>
      </w:tr>
      <w:tr w:rsidR="0013326E" w14:paraId="2E38C9C1" w14:textId="77777777" w:rsidTr="0013326E">
        <w:trPr>
          <w:gridAfter w:val="1"/>
          <w:wAfter w:w="11" w:type="dxa"/>
          <w:trHeight w:val="300"/>
        </w:trPr>
        <w:tc>
          <w:tcPr>
            <w:tcW w:w="880" w:type="dxa"/>
            <w:gridSpan w:val="2"/>
            <w:tcBorders>
              <w:top w:val="nil"/>
              <w:left w:val="nil"/>
              <w:bottom w:val="nil"/>
              <w:right w:val="nil"/>
            </w:tcBorders>
            <w:shd w:val="clear" w:color="auto" w:fill="auto"/>
            <w:noWrap/>
            <w:vAlign w:val="bottom"/>
            <w:hideMark/>
          </w:tcPr>
          <w:p w14:paraId="2B11C343" w14:textId="77777777" w:rsidR="0013326E" w:rsidRDefault="0013326E">
            <w:pPr>
              <w:rPr>
                <w:rFonts w:ascii="Calibri" w:hAnsi="Calibri" w:cs="Calibri"/>
                <w:sz w:val="22"/>
                <w:szCs w:val="22"/>
              </w:rPr>
            </w:pPr>
            <w:r>
              <w:rPr>
                <w:rFonts w:ascii="Calibri" w:hAnsi="Calibri" w:cs="Calibri"/>
                <w:sz w:val="22"/>
                <w:szCs w:val="22"/>
              </w:rPr>
              <w:t>9</w:t>
            </w:r>
          </w:p>
        </w:tc>
        <w:tc>
          <w:tcPr>
            <w:tcW w:w="1380" w:type="dxa"/>
            <w:gridSpan w:val="2"/>
            <w:tcBorders>
              <w:top w:val="nil"/>
              <w:left w:val="nil"/>
              <w:bottom w:val="nil"/>
              <w:right w:val="nil"/>
            </w:tcBorders>
            <w:shd w:val="clear" w:color="auto" w:fill="auto"/>
            <w:noWrap/>
            <w:vAlign w:val="bottom"/>
            <w:hideMark/>
          </w:tcPr>
          <w:p w14:paraId="637C9F27" w14:textId="77777777" w:rsidR="0013326E" w:rsidRDefault="0013326E">
            <w:pPr>
              <w:jc w:val="right"/>
              <w:rPr>
                <w:rFonts w:ascii="Calibri" w:hAnsi="Calibri" w:cs="Calibri"/>
                <w:sz w:val="22"/>
                <w:szCs w:val="22"/>
              </w:rPr>
            </w:pPr>
            <w:r>
              <w:rPr>
                <w:rFonts w:ascii="Calibri" w:hAnsi="Calibri" w:cs="Calibri"/>
                <w:sz w:val="22"/>
                <w:szCs w:val="22"/>
              </w:rPr>
              <w:t>0.326191</w:t>
            </w:r>
          </w:p>
        </w:tc>
        <w:tc>
          <w:tcPr>
            <w:tcW w:w="1380" w:type="dxa"/>
            <w:gridSpan w:val="2"/>
            <w:tcBorders>
              <w:top w:val="nil"/>
              <w:left w:val="nil"/>
              <w:bottom w:val="nil"/>
              <w:right w:val="nil"/>
            </w:tcBorders>
            <w:shd w:val="clear" w:color="auto" w:fill="auto"/>
            <w:noWrap/>
            <w:vAlign w:val="bottom"/>
            <w:hideMark/>
          </w:tcPr>
          <w:p w14:paraId="3EF295C0" w14:textId="77777777" w:rsidR="0013326E" w:rsidRDefault="0013326E">
            <w:pPr>
              <w:jc w:val="right"/>
              <w:rPr>
                <w:rFonts w:ascii="Calibri" w:hAnsi="Calibri" w:cs="Calibri"/>
                <w:sz w:val="22"/>
                <w:szCs w:val="22"/>
              </w:rPr>
            </w:pPr>
            <w:r>
              <w:rPr>
                <w:rFonts w:ascii="Calibri" w:hAnsi="Calibri" w:cs="Calibri"/>
                <w:sz w:val="22"/>
                <w:szCs w:val="22"/>
              </w:rPr>
              <w:t>0.657638</w:t>
            </w:r>
          </w:p>
        </w:tc>
        <w:tc>
          <w:tcPr>
            <w:tcW w:w="1320" w:type="dxa"/>
            <w:gridSpan w:val="2"/>
            <w:tcBorders>
              <w:top w:val="nil"/>
              <w:left w:val="nil"/>
              <w:bottom w:val="nil"/>
              <w:right w:val="nil"/>
            </w:tcBorders>
            <w:shd w:val="clear" w:color="auto" w:fill="auto"/>
            <w:noWrap/>
            <w:vAlign w:val="bottom"/>
            <w:hideMark/>
          </w:tcPr>
          <w:p w14:paraId="7B67C6E1" w14:textId="77777777" w:rsidR="0013326E" w:rsidRDefault="0013326E">
            <w:pPr>
              <w:jc w:val="right"/>
              <w:rPr>
                <w:rFonts w:ascii="Calibri" w:hAnsi="Calibri" w:cs="Calibri"/>
                <w:sz w:val="22"/>
                <w:szCs w:val="22"/>
              </w:rPr>
            </w:pPr>
            <w:r>
              <w:rPr>
                <w:rFonts w:ascii="Calibri" w:hAnsi="Calibri" w:cs="Calibri"/>
                <w:sz w:val="22"/>
                <w:szCs w:val="22"/>
              </w:rPr>
              <w:t>0.380107</w:t>
            </w:r>
          </w:p>
        </w:tc>
        <w:tc>
          <w:tcPr>
            <w:tcW w:w="1300" w:type="dxa"/>
            <w:tcBorders>
              <w:top w:val="nil"/>
              <w:left w:val="nil"/>
              <w:bottom w:val="nil"/>
              <w:right w:val="nil"/>
            </w:tcBorders>
            <w:shd w:val="clear" w:color="auto" w:fill="auto"/>
            <w:noWrap/>
            <w:vAlign w:val="bottom"/>
            <w:hideMark/>
          </w:tcPr>
          <w:p w14:paraId="5745A7AA" w14:textId="77777777" w:rsidR="0013326E" w:rsidRDefault="0013326E">
            <w:pPr>
              <w:jc w:val="right"/>
              <w:rPr>
                <w:rFonts w:ascii="Calibri" w:hAnsi="Calibri" w:cs="Calibri"/>
                <w:sz w:val="22"/>
                <w:szCs w:val="22"/>
              </w:rPr>
            </w:pPr>
            <w:r>
              <w:rPr>
                <w:rFonts w:ascii="Calibri" w:hAnsi="Calibri" w:cs="Calibri"/>
                <w:sz w:val="22"/>
                <w:szCs w:val="22"/>
              </w:rPr>
              <w:t>0.618848</w:t>
            </w:r>
          </w:p>
        </w:tc>
        <w:tc>
          <w:tcPr>
            <w:tcW w:w="1380" w:type="dxa"/>
            <w:gridSpan w:val="2"/>
            <w:tcBorders>
              <w:top w:val="nil"/>
              <w:left w:val="nil"/>
              <w:bottom w:val="nil"/>
              <w:right w:val="nil"/>
            </w:tcBorders>
            <w:shd w:val="clear" w:color="auto" w:fill="auto"/>
            <w:noWrap/>
            <w:vAlign w:val="bottom"/>
            <w:hideMark/>
          </w:tcPr>
          <w:p w14:paraId="263DFD66" w14:textId="77777777" w:rsidR="0013326E" w:rsidRDefault="0013326E">
            <w:pPr>
              <w:jc w:val="right"/>
              <w:rPr>
                <w:rFonts w:ascii="Calibri" w:hAnsi="Calibri" w:cs="Calibri"/>
                <w:sz w:val="22"/>
                <w:szCs w:val="22"/>
              </w:rPr>
            </w:pPr>
            <w:r>
              <w:rPr>
                <w:rFonts w:ascii="Calibri" w:hAnsi="Calibri" w:cs="Calibri"/>
                <w:sz w:val="22"/>
                <w:szCs w:val="22"/>
              </w:rPr>
              <w:t>32.0%</w:t>
            </w:r>
          </w:p>
        </w:tc>
        <w:tc>
          <w:tcPr>
            <w:tcW w:w="1380" w:type="dxa"/>
            <w:tcBorders>
              <w:top w:val="nil"/>
              <w:left w:val="nil"/>
              <w:bottom w:val="nil"/>
              <w:right w:val="nil"/>
            </w:tcBorders>
            <w:shd w:val="clear" w:color="auto" w:fill="auto"/>
            <w:noWrap/>
            <w:vAlign w:val="bottom"/>
            <w:hideMark/>
          </w:tcPr>
          <w:p w14:paraId="332F0753" w14:textId="77777777" w:rsidR="0013326E" w:rsidRDefault="0013326E">
            <w:pPr>
              <w:jc w:val="right"/>
              <w:rPr>
                <w:rFonts w:ascii="Calibri" w:hAnsi="Calibri" w:cs="Calibri"/>
                <w:sz w:val="22"/>
                <w:szCs w:val="22"/>
              </w:rPr>
            </w:pPr>
            <w:r>
              <w:rPr>
                <w:rFonts w:ascii="Calibri" w:hAnsi="Calibri" w:cs="Calibri"/>
                <w:sz w:val="22"/>
                <w:szCs w:val="22"/>
              </w:rPr>
              <w:t>68.0%</w:t>
            </w:r>
          </w:p>
        </w:tc>
      </w:tr>
      <w:tr w:rsidR="0013326E" w14:paraId="7B5E627D" w14:textId="77777777" w:rsidTr="0013326E">
        <w:trPr>
          <w:gridAfter w:val="1"/>
          <w:wAfter w:w="11" w:type="dxa"/>
          <w:trHeight w:val="300"/>
        </w:trPr>
        <w:tc>
          <w:tcPr>
            <w:tcW w:w="880" w:type="dxa"/>
            <w:gridSpan w:val="2"/>
            <w:tcBorders>
              <w:top w:val="nil"/>
              <w:left w:val="nil"/>
              <w:bottom w:val="nil"/>
              <w:right w:val="nil"/>
            </w:tcBorders>
            <w:shd w:val="clear" w:color="auto" w:fill="auto"/>
            <w:noWrap/>
            <w:vAlign w:val="bottom"/>
            <w:hideMark/>
          </w:tcPr>
          <w:p w14:paraId="53A0B958" w14:textId="77777777" w:rsidR="0013326E" w:rsidRDefault="0013326E">
            <w:pPr>
              <w:rPr>
                <w:rFonts w:ascii="Calibri" w:hAnsi="Calibri" w:cs="Calibri"/>
                <w:sz w:val="22"/>
                <w:szCs w:val="22"/>
              </w:rPr>
            </w:pPr>
            <w:r>
              <w:rPr>
                <w:rFonts w:ascii="Calibri" w:hAnsi="Calibri" w:cs="Calibri"/>
                <w:sz w:val="22"/>
                <w:szCs w:val="22"/>
              </w:rPr>
              <w:t>10</w:t>
            </w:r>
          </w:p>
        </w:tc>
        <w:tc>
          <w:tcPr>
            <w:tcW w:w="1380" w:type="dxa"/>
            <w:gridSpan w:val="2"/>
            <w:tcBorders>
              <w:top w:val="nil"/>
              <w:left w:val="nil"/>
              <w:bottom w:val="nil"/>
              <w:right w:val="nil"/>
            </w:tcBorders>
            <w:shd w:val="clear" w:color="auto" w:fill="auto"/>
            <w:noWrap/>
            <w:vAlign w:val="bottom"/>
            <w:hideMark/>
          </w:tcPr>
          <w:p w14:paraId="57F342B4" w14:textId="77777777" w:rsidR="0013326E" w:rsidRDefault="0013326E">
            <w:pPr>
              <w:jc w:val="right"/>
              <w:rPr>
                <w:rFonts w:ascii="Calibri" w:hAnsi="Calibri" w:cs="Calibri"/>
                <w:sz w:val="22"/>
                <w:szCs w:val="22"/>
              </w:rPr>
            </w:pPr>
            <w:r>
              <w:rPr>
                <w:rFonts w:ascii="Calibri" w:hAnsi="Calibri" w:cs="Calibri"/>
                <w:sz w:val="22"/>
                <w:szCs w:val="22"/>
              </w:rPr>
              <w:t>0.622458</w:t>
            </w:r>
          </w:p>
        </w:tc>
        <w:tc>
          <w:tcPr>
            <w:tcW w:w="1380" w:type="dxa"/>
            <w:gridSpan w:val="2"/>
            <w:tcBorders>
              <w:top w:val="nil"/>
              <w:left w:val="nil"/>
              <w:bottom w:val="nil"/>
              <w:right w:val="nil"/>
            </w:tcBorders>
            <w:shd w:val="clear" w:color="auto" w:fill="auto"/>
            <w:noWrap/>
            <w:vAlign w:val="bottom"/>
            <w:hideMark/>
          </w:tcPr>
          <w:p w14:paraId="2A52D626" w14:textId="77777777" w:rsidR="0013326E" w:rsidRDefault="0013326E">
            <w:pPr>
              <w:jc w:val="right"/>
              <w:rPr>
                <w:rFonts w:ascii="Calibri" w:hAnsi="Calibri" w:cs="Calibri"/>
                <w:sz w:val="22"/>
                <w:szCs w:val="22"/>
              </w:rPr>
            </w:pPr>
            <w:r>
              <w:rPr>
                <w:rFonts w:ascii="Calibri" w:hAnsi="Calibri" w:cs="Calibri"/>
                <w:sz w:val="22"/>
                <w:szCs w:val="22"/>
              </w:rPr>
              <w:t>0.358826</w:t>
            </w:r>
          </w:p>
        </w:tc>
        <w:tc>
          <w:tcPr>
            <w:tcW w:w="1320" w:type="dxa"/>
            <w:gridSpan w:val="2"/>
            <w:tcBorders>
              <w:top w:val="nil"/>
              <w:left w:val="nil"/>
              <w:bottom w:val="nil"/>
              <w:right w:val="nil"/>
            </w:tcBorders>
            <w:shd w:val="clear" w:color="auto" w:fill="auto"/>
            <w:noWrap/>
            <w:vAlign w:val="bottom"/>
            <w:hideMark/>
          </w:tcPr>
          <w:p w14:paraId="46EE32B7" w14:textId="77777777" w:rsidR="0013326E" w:rsidRDefault="0013326E">
            <w:pPr>
              <w:jc w:val="right"/>
              <w:rPr>
                <w:rFonts w:ascii="Calibri" w:hAnsi="Calibri" w:cs="Calibri"/>
                <w:sz w:val="22"/>
                <w:szCs w:val="22"/>
              </w:rPr>
            </w:pPr>
            <w:r>
              <w:rPr>
                <w:rFonts w:ascii="Calibri" w:hAnsi="Calibri" w:cs="Calibri"/>
                <w:sz w:val="22"/>
                <w:szCs w:val="22"/>
              </w:rPr>
              <w:t>0.630592</w:t>
            </w:r>
          </w:p>
        </w:tc>
        <w:tc>
          <w:tcPr>
            <w:tcW w:w="1300" w:type="dxa"/>
            <w:tcBorders>
              <w:top w:val="nil"/>
              <w:left w:val="nil"/>
              <w:bottom w:val="nil"/>
              <w:right w:val="nil"/>
            </w:tcBorders>
            <w:shd w:val="clear" w:color="auto" w:fill="auto"/>
            <w:noWrap/>
            <w:vAlign w:val="bottom"/>
            <w:hideMark/>
          </w:tcPr>
          <w:p w14:paraId="3B1C7830" w14:textId="77777777" w:rsidR="0013326E" w:rsidRDefault="0013326E">
            <w:pPr>
              <w:jc w:val="right"/>
              <w:rPr>
                <w:rFonts w:ascii="Calibri" w:hAnsi="Calibri" w:cs="Calibri"/>
                <w:sz w:val="22"/>
                <w:szCs w:val="22"/>
              </w:rPr>
            </w:pPr>
            <w:r>
              <w:rPr>
                <w:rFonts w:ascii="Calibri" w:hAnsi="Calibri" w:cs="Calibri"/>
                <w:sz w:val="22"/>
                <w:szCs w:val="22"/>
              </w:rPr>
              <w:t>0.368551</w:t>
            </w:r>
          </w:p>
        </w:tc>
        <w:tc>
          <w:tcPr>
            <w:tcW w:w="1380" w:type="dxa"/>
            <w:gridSpan w:val="2"/>
            <w:tcBorders>
              <w:top w:val="nil"/>
              <w:left w:val="nil"/>
              <w:bottom w:val="nil"/>
              <w:right w:val="nil"/>
            </w:tcBorders>
            <w:shd w:val="clear" w:color="auto" w:fill="auto"/>
            <w:noWrap/>
            <w:vAlign w:val="bottom"/>
            <w:hideMark/>
          </w:tcPr>
          <w:p w14:paraId="4E3B9DE2" w14:textId="77777777" w:rsidR="0013326E" w:rsidRDefault="0013326E">
            <w:pPr>
              <w:jc w:val="right"/>
              <w:rPr>
                <w:rFonts w:ascii="Calibri" w:hAnsi="Calibri" w:cs="Calibri"/>
                <w:sz w:val="22"/>
                <w:szCs w:val="22"/>
              </w:rPr>
            </w:pPr>
            <w:r>
              <w:rPr>
                <w:rFonts w:ascii="Calibri" w:hAnsi="Calibri" w:cs="Calibri"/>
                <w:sz w:val="22"/>
                <w:szCs w:val="22"/>
              </w:rPr>
              <w:t>59.4%</w:t>
            </w:r>
          </w:p>
        </w:tc>
        <w:tc>
          <w:tcPr>
            <w:tcW w:w="1380" w:type="dxa"/>
            <w:tcBorders>
              <w:top w:val="nil"/>
              <w:left w:val="nil"/>
              <w:bottom w:val="nil"/>
              <w:right w:val="nil"/>
            </w:tcBorders>
            <w:shd w:val="clear" w:color="auto" w:fill="auto"/>
            <w:noWrap/>
            <w:vAlign w:val="bottom"/>
            <w:hideMark/>
          </w:tcPr>
          <w:p w14:paraId="6024B5C6" w14:textId="77777777" w:rsidR="0013326E" w:rsidRDefault="0013326E">
            <w:pPr>
              <w:jc w:val="right"/>
              <w:rPr>
                <w:rFonts w:ascii="Calibri" w:hAnsi="Calibri" w:cs="Calibri"/>
                <w:sz w:val="22"/>
                <w:szCs w:val="22"/>
              </w:rPr>
            </w:pPr>
            <w:r>
              <w:rPr>
                <w:rFonts w:ascii="Calibri" w:hAnsi="Calibri" w:cs="Calibri"/>
                <w:sz w:val="22"/>
                <w:szCs w:val="22"/>
              </w:rPr>
              <w:t>40.6%</w:t>
            </w:r>
          </w:p>
        </w:tc>
      </w:tr>
      <w:tr w:rsidR="0013326E" w14:paraId="0432EE0A" w14:textId="77777777" w:rsidTr="0013326E">
        <w:trPr>
          <w:gridAfter w:val="1"/>
          <w:wAfter w:w="11" w:type="dxa"/>
          <w:trHeight w:val="300"/>
        </w:trPr>
        <w:tc>
          <w:tcPr>
            <w:tcW w:w="880" w:type="dxa"/>
            <w:gridSpan w:val="2"/>
            <w:tcBorders>
              <w:top w:val="nil"/>
              <w:left w:val="nil"/>
              <w:bottom w:val="nil"/>
              <w:right w:val="nil"/>
            </w:tcBorders>
            <w:shd w:val="clear" w:color="auto" w:fill="auto"/>
            <w:noWrap/>
            <w:vAlign w:val="bottom"/>
            <w:hideMark/>
          </w:tcPr>
          <w:p w14:paraId="6EF55563" w14:textId="77777777" w:rsidR="0013326E" w:rsidRDefault="0013326E">
            <w:pPr>
              <w:rPr>
                <w:rFonts w:ascii="Calibri" w:hAnsi="Calibri" w:cs="Calibri"/>
                <w:sz w:val="22"/>
                <w:szCs w:val="22"/>
              </w:rPr>
            </w:pPr>
            <w:r>
              <w:rPr>
                <w:rFonts w:ascii="Calibri" w:hAnsi="Calibri" w:cs="Calibri"/>
                <w:sz w:val="22"/>
                <w:szCs w:val="22"/>
              </w:rPr>
              <w:t>11</w:t>
            </w:r>
          </w:p>
        </w:tc>
        <w:tc>
          <w:tcPr>
            <w:tcW w:w="1380" w:type="dxa"/>
            <w:gridSpan w:val="2"/>
            <w:tcBorders>
              <w:top w:val="nil"/>
              <w:left w:val="nil"/>
              <w:bottom w:val="nil"/>
              <w:right w:val="nil"/>
            </w:tcBorders>
            <w:shd w:val="clear" w:color="auto" w:fill="auto"/>
            <w:noWrap/>
            <w:vAlign w:val="bottom"/>
            <w:hideMark/>
          </w:tcPr>
          <w:p w14:paraId="54D99A18" w14:textId="77777777" w:rsidR="0013326E" w:rsidRDefault="0013326E">
            <w:pPr>
              <w:jc w:val="right"/>
              <w:rPr>
                <w:rFonts w:ascii="Calibri" w:hAnsi="Calibri" w:cs="Calibri"/>
                <w:sz w:val="22"/>
                <w:szCs w:val="22"/>
              </w:rPr>
            </w:pPr>
            <w:r>
              <w:rPr>
                <w:rFonts w:ascii="Calibri" w:hAnsi="Calibri" w:cs="Calibri"/>
                <w:sz w:val="22"/>
                <w:szCs w:val="22"/>
              </w:rPr>
              <w:t>0.690487</w:t>
            </w:r>
          </w:p>
        </w:tc>
        <w:tc>
          <w:tcPr>
            <w:tcW w:w="1380" w:type="dxa"/>
            <w:gridSpan w:val="2"/>
            <w:tcBorders>
              <w:top w:val="nil"/>
              <w:left w:val="nil"/>
              <w:bottom w:val="nil"/>
              <w:right w:val="nil"/>
            </w:tcBorders>
            <w:shd w:val="clear" w:color="auto" w:fill="auto"/>
            <w:noWrap/>
            <w:vAlign w:val="bottom"/>
            <w:hideMark/>
          </w:tcPr>
          <w:p w14:paraId="3AF9708C" w14:textId="77777777" w:rsidR="0013326E" w:rsidRDefault="0013326E">
            <w:pPr>
              <w:jc w:val="right"/>
              <w:rPr>
                <w:rFonts w:ascii="Calibri" w:hAnsi="Calibri" w:cs="Calibri"/>
                <w:sz w:val="22"/>
                <w:szCs w:val="22"/>
              </w:rPr>
            </w:pPr>
            <w:r>
              <w:rPr>
                <w:rFonts w:ascii="Calibri" w:hAnsi="Calibri" w:cs="Calibri"/>
                <w:sz w:val="22"/>
                <w:szCs w:val="22"/>
              </w:rPr>
              <w:t>0.288456</w:t>
            </w:r>
          </w:p>
        </w:tc>
        <w:tc>
          <w:tcPr>
            <w:tcW w:w="1320" w:type="dxa"/>
            <w:gridSpan w:val="2"/>
            <w:tcBorders>
              <w:top w:val="nil"/>
              <w:left w:val="nil"/>
              <w:bottom w:val="nil"/>
              <w:right w:val="nil"/>
            </w:tcBorders>
            <w:shd w:val="clear" w:color="auto" w:fill="auto"/>
            <w:noWrap/>
            <w:vAlign w:val="bottom"/>
            <w:hideMark/>
          </w:tcPr>
          <w:p w14:paraId="0E5F7EEF" w14:textId="77777777" w:rsidR="0013326E" w:rsidRDefault="0013326E">
            <w:pPr>
              <w:jc w:val="right"/>
              <w:rPr>
                <w:rFonts w:ascii="Calibri" w:hAnsi="Calibri" w:cs="Calibri"/>
                <w:sz w:val="22"/>
                <w:szCs w:val="22"/>
              </w:rPr>
            </w:pPr>
            <w:r>
              <w:rPr>
                <w:rFonts w:ascii="Calibri" w:hAnsi="Calibri" w:cs="Calibri"/>
                <w:sz w:val="22"/>
                <w:szCs w:val="22"/>
              </w:rPr>
              <w:t>0.690182</w:t>
            </w:r>
          </w:p>
        </w:tc>
        <w:tc>
          <w:tcPr>
            <w:tcW w:w="1300" w:type="dxa"/>
            <w:tcBorders>
              <w:top w:val="nil"/>
              <w:left w:val="nil"/>
              <w:bottom w:val="nil"/>
              <w:right w:val="nil"/>
            </w:tcBorders>
            <w:shd w:val="clear" w:color="auto" w:fill="auto"/>
            <w:noWrap/>
            <w:vAlign w:val="bottom"/>
            <w:hideMark/>
          </w:tcPr>
          <w:p w14:paraId="009542A9" w14:textId="77777777" w:rsidR="0013326E" w:rsidRDefault="0013326E">
            <w:pPr>
              <w:jc w:val="right"/>
              <w:rPr>
                <w:rFonts w:ascii="Calibri" w:hAnsi="Calibri" w:cs="Calibri"/>
                <w:sz w:val="22"/>
                <w:szCs w:val="22"/>
              </w:rPr>
            </w:pPr>
            <w:r>
              <w:rPr>
                <w:rFonts w:ascii="Calibri" w:hAnsi="Calibri" w:cs="Calibri"/>
                <w:sz w:val="22"/>
                <w:szCs w:val="22"/>
              </w:rPr>
              <w:t>0.308601</w:t>
            </w:r>
          </w:p>
        </w:tc>
        <w:tc>
          <w:tcPr>
            <w:tcW w:w="1380" w:type="dxa"/>
            <w:gridSpan w:val="2"/>
            <w:tcBorders>
              <w:top w:val="nil"/>
              <w:left w:val="nil"/>
              <w:bottom w:val="nil"/>
              <w:right w:val="nil"/>
            </w:tcBorders>
            <w:shd w:val="clear" w:color="auto" w:fill="auto"/>
            <w:noWrap/>
            <w:vAlign w:val="bottom"/>
            <w:hideMark/>
          </w:tcPr>
          <w:p w14:paraId="792B0AD5" w14:textId="77777777" w:rsidR="0013326E" w:rsidRDefault="0013326E">
            <w:pPr>
              <w:jc w:val="right"/>
              <w:rPr>
                <w:rFonts w:ascii="Calibri" w:hAnsi="Calibri" w:cs="Calibri"/>
                <w:sz w:val="22"/>
                <w:szCs w:val="22"/>
              </w:rPr>
            </w:pPr>
            <w:r>
              <w:rPr>
                <w:rFonts w:ascii="Calibri" w:hAnsi="Calibri" w:cs="Calibri"/>
                <w:sz w:val="22"/>
                <w:szCs w:val="22"/>
              </w:rPr>
              <w:t>68.1%</w:t>
            </w:r>
          </w:p>
        </w:tc>
        <w:tc>
          <w:tcPr>
            <w:tcW w:w="1380" w:type="dxa"/>
            <w:tcBorders>
              <w:top w:val="nil"/>
              <w:left w:val="nil"/>
              <w:bottom w:val="nil"/>
              <w:right w:val="nil"/>
            </w:tcBorders>
            <w:shd w:val="clear" w:color="auto" w:fill="auto"/>
            <w:noWrap/>
            <w:vAlign w:val="bottom"/>
            <w:hideMark/>
          </w:tcPr>
          <w:p w14:paraId="034B8B7D" w14:textId="77777777" w:rsidR="0013326E" w:rsidRDefault="0013326E">
            <w:pPr>
              <w:jc w:val="right"/>
              <w:rPr>
                <w:rFonts w:ascii="Calibri" w:hAnsi="Calibri" w:cs="Calibri"/>
                <w:sz w:val="22"/>
                <w:szCs w:val="22"/>
              </w:rPr>
            </w:pPr>
            <w:r>
              <w:rPr>
                <w:rFonts w:ascii="Calibri" w:hAnsi="Calibri" w:cs="Calibri"/>
                <w:sz w:val="22"/>
                <w:szCs w:val="22"/>
              </w:rPr>
              <w:t>31.9%</w:t>
            </w:r>
          </w:p>
        </w:tc>
      </w:tr>
    </w:tbl>
    <w:p w14:paraId="64E8DBE5" w14:textId="544C4564" w:rsidR="0013326E" w:rsidRDefault="0013326E" w:rsidP="006C430A">
      <w:pPr>
        <w:spacing w:line="480" w:lineRule="auto"/>
        <w:rPr>
          <w:rFonts w:ascii="Times" w:hAnsi="Times"/>
          <w:b/>
          <w:bCs/>
          <w:sz w:val="32"/>
          <w:szCs w:val="32"/>
        </w:rPr>
      </w:pPr>
    </w:p>
    <w:p w14:paraId="0D0EF0E9" w14:textId="03C36AED" w:rsidR="00CE2852" w:rsidRPr="00C415D7" w:rsidRDefault="00CE2852" w:rsidP="006C430A">
      <w:pPr>
        <w:spacing w:line="480" w:lineRule="auto"/>
        <w:rPr>
          <w:rFonts w:ascii="Times" w:hAnsi="Times"/>
        </w:rPr>
      </w:pPr>
      <w:r w:rsidRPr="00C415D7">
        <w:rPr>
          <w:rFonts w:ascii="Times" w:hAnsi="Times"/>
        </w:rPr>
        <w:t xml:space="preserve">Dave’s Redistricting App Proportionality Assessment </w:t>
      </w:r>
    </w:p>
    <w:p w14:paraId="51AA55BF" w14:textId="61B43484" w:rsidR="00AB27DE" w:rsidRDefault="00AB27DE" w:rsidP="00AB27DE">
      <w:r>
        <w:fldChar w:fldCharType="begin"/>
      </w:r>
      <w:r>
        <w:instrText xml:space="preserve"> INCLUDEPICTURE "https://drawcongress.org/wp-content/uploads/ratings-diagram-10.png" \* MERGEFORMATINET </w:instrText>
      </w:r>
      <w:r>
        <w:fldChar w:fldCharType="separate"/>
      </w:r>
      <w:r>
        <w:rPr>
          <w:noProof/>
        </w:rPr>
        <w:drawing>
          <wp:inline distT="0" distB="0" distL="0" distR="0" wp14:anchorId="0FD0A082" wp14:editId="754311CC">
            <wp:extent cx="5943600" cy="3270462"/>
            <wp:effectExtent l="0" t="0" r="0" b="6350"/>
            <wp:docPr id="51" name="Picture 51"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radar chart&#10;&#10;Description automatically generated"/>
                    <pic:cNvPicPr>
                      <a:picLocks noChangeAspect="1" noChangeArrowheads="1"/>
                    </pic:cNvPicPr>
                  </pic:nvPicPr>
                  <pic:blipFill rotWithShape="1">
                    <a:blip r:embed="rId64">
                      <a:extLst>
                        <a:ext uri="{28A0092B-C50C-407E-A947-70E740481C1C}">
                          <a14:useLocalDpi xmlns:a14="http://schemas.microsoft.com/office/drawing/2010/main" val="0"/>
                        </a:ext>
                      </a:extLst>
                    </a:blip>
                    <a:srcRect t="14404"/>
                    <a:stretch/>
                  </pic:blipFill>
                  <pic:spPr bwMode="auto">
                    <a:xfrm>
                      <a:off x="0" y="0"/>
                      <a:ext cx="5943600" cy="327046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528BBB8" w14:textId="4682371B" w:rsidR="00AB27DE" w:rsidRDefault="00AB27DE" w:rsidP="00AB27DE"/>
    <w:p w14:paraId="303B9F41" w14:textId="77777777" w:rsidR="00AB27DE" w:rsidRPr="00CA51CE" w:rsidRDefault="00AB27DE" w:rsidP="006C430A">
      <w:pPr>
        <w:spacing w:line="480" w:lineRule="auto"/>
        <w:rPr>
          <w:rFonts w:ascii="Times" w:hAnsi="Times"/>
          <w:b/>
          <w:bCs/>
          <w:sz w:val="32"/>
          <w:szCs w:val="32"/>
        </w:rPr>
      </w:pPr>
    </w:p>
    <w:sectPr w:rsidR="00AB27DE" w:rsidRPr="00CA51CE" w:rsidSect="00A0539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2D1B12" w14:textId="77777777" w:rsidR="00ED5513" w:rsidRDefault="00ED5513" w:rsidP="005C0C44">
      <w:r>
        <w:separator/>
      </w:r>
    </w:p>
  </w:endnote>
  <w:endnote w:type="continuationSeparator" w:id="0">
    <w:p w14:paraId="00CA9166" w14:textId="77777777" w:rsidR="00ED5513" w:rsidRDefault="00ED5513" w:rsidP="005C0C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NewRomanPSMT">
    <w:altName w:val="Times New Roman"/>
    <w:panose1 w:val="020B06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TimesNewRomanPS">
    <w:altName w:val="Times New Roman"/>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2D52F3" w14:textId="77777777" w:rsidR="00ED5513" w:rsidRDefault="00ED5513" w:rsidP="005C0C44">
      <w:r>
        <w:separator/>
      </w:r>
    </w:p>
  </w:footnote>
  <w:footnote w:type="continuationSeparator" w:id="0">
    <w:p w14:paraId="043C6F0F" w14:textId="77777777" w:rsidR="00ED5513" w:rsidRDefault="00ED5513" w:rsidP="005C0C44">
      <w:r>
        <w:continuationSeparator/>
      </w:r>
    </w:p>
  </w:footnote>
  <w:footnote w:id="1">
    <w:p w14:paraId="3D4EB038" w14:textId="343ABE62" w:rsidR="00AC7B4D" w:rsidRPr="00441CC8" w:rsidRDefault="00AC7B4D" w:rsidP="00697D78">
      <w:pPr>
        <w:pStyle w:val="NormalWeb"/>
        <w:contextualSpacing/>
      </w:pPr>
      <w:r w:rsidRPr="00AC7B4D">
        <w:rPr>
          <w:rStyle w:val="FootnoteReference"/>
          <w:sz w:val="20"/>
          <w:szCs w:val="20"/>
        </w:rPr>
        <w:footnoteRef/>
      </w:r>
      <w:r w:rsidRPr="00AC7B4D">
        <w:rPr>
          <w:sz w:val="20"/>
          <w:szCs w:val="20"/>
        </w:rPr>
        <w:t xml:space="preserve"> </w:t>
      </w:r>
      <w:r w:rsidR="00441CC8" w:rsidRPr="00441CC8">
        <w:rPr>
          <w:sz w:val="20"/>
          <w:szCs w:val="20"/>
        </w:rPr>
        <w:t xml:space="preserve">Kumar, Anita. “Bob McDonnell Signs Va. Congressional Redistricting Bill into Law.” </w:t>
      </w:r>
      <w:r w:rsidR="00441CC8" w:rsidRPr="00441CC8">
        <w:rPr>
          <w:i/>
          <w:iCs/>
          <w:sz w:val="20"/>
          <w:szCs w:val="20"/>
        </w:rPr>
        <w:t>Washington Post</w:t>
      </w:r>
      <w:r w:rsidR="00441CC8" w:rsidRPr="00441CC8">
        <w:rPr>
          <w:sz w:val="20"/>
          <w:szCs w:val="20"/>
        </w:rPr>
        <w:t>, 25 Jan.</w:t>
      </w:r>
      <w:r w:rsidR="00697D78">
        <w:rPr>
          <w:sz w:val="20"/>
          <w:szCs w:val="20"/>
        </w:rPr>
        <w:t xml:space="preserve"> </w:t>
      </w:r>
      <w:r w:rsidR="00441CC8" w:rsidRPr="00441CC8">
        <w:rPr>
          <w:sz w:val="20"/>
          <w:szCs w:val="20"/>
        </w:rPr>
        <w:t>2012, https://www.washingtonpost.com/blogs/virginia-politics/post/bob-mcdonnell-signs-va-congressional-redistricting-bill-into-law/2012/01/25/gIQADxR0QQ_blog.html. Accessed 1 Apr. 2022.</w:t>
      </w:r>
    </w:p>
  </w:footnote>
  <w:footnote w:id="2">
    <w:p w14:paraId="1070F9EE" w14:textId="0F1525C3" w:rsidR="00A37273" w:rsidRPr="00441CC8" w:rsidRDefault="00A37273" w:rsidP="00697D78">
      <w:pPr>
        <w:pStyle w:val="NormalWeb"/>
        <w:contextualSpacing/>
        <w:rPr>
          <w:sz w:val="20"/>
          <w:szCs w:val="20"/>
        </w:rPr>
      </w:pPr>
      <w:r>
        <w:rPr>
          <w:rStyle w:val="FootnoteReference"/>
        </w:rPr>
        <w:footnoteRef/>
      </w:r>
      <w:r>
        <w:t xml:space="preserve"> </w:t>
      </w:r>
      <w:r w:rsidR="00441CC8" w:rsidRPr="00441CC8">
        <w:rPr>
          <w:sz w:val="20"/>
          <w:szCs w:val="20"/>
        </w:rPr>
        <w:t xml:space="preserve">“Virginia | Princeton Gerrymandering Project.” </w:t>
      </w:r>
      <w:r w:rsidR="00441CC8" w:rsidRPr="00441CC8">
        <w:rPr>
          <w:i/>
          <w:iCs/>
          <w:sz w:val="20"/>
          <w:szCs w:val="20"/>
        </w:rPr>
        <w:t>Princeton University</w:t>
      </w:r>
      <w:r w:rsidR="00441CC8" w:rsidRPr="00441CC8">
        <w:rPr>
          <w:sz w:val="20"/>
          <w:szCs w:val="20"/>
        </w:rPr>
        <w:t>, The Trustees of Princeton University, https://gerrymander.princeton.edu/reforms/VA.</w:t>
      </w:r>
    </w:p>
  </w:footnote>
  <w:footnote w:id="3">
    <w:p w14:paraId="66C1EB1B" w14:textId="2866C68A" w:rsidR="00FF0D7D" w:rsidRPr="00FF0D7D" w:rsidRDefault="00B22D57" w:rsidP="00FF0D7D">
      <w:pPr>
        <w:pStyle w:val="NormalWeb"/>
        <w:ind w:left="567" w:hanging="567"/>
        <w:contextualSpacing/>
        <w:rPr>
          <w:sz w:val="20"/>
          <w:szCs w:val="20"/>
        </w:rPr>
      </w:pPr>
      <w:r w:rsidRPr="00FF0D7D">
        <w:rPr>
          <w:rStyle w:val="FootnoteReference"/>
          <w:sz w:val="20"/>
          <w:szCs w:val="20"/>
        </w:rPr>
        <w:footnoteRef/>
      </w:r>
      <w:r w:rsidRPr="00FF0D7D">
        <w:rPr>
          <w:sz w:val="20"/>
          <w:szCs w:val="20"/>
        </w:rPr>
        <w:t xml:space="preserve"> </w:t>
      </w:r>
      <w:r w:rsidR="00FF0D7D" w:rsidRPr="00FF0D7D">
        <w:rPr>
          <w:i/>
          <w:iCs/>
          <w:sz w:val="20"/>
          <w:szCs w:val="20"/>
        </w:rPr>
        <w:t>Virginia Redistricting</w:t>
      </w:r>
      <w:r w:rsidR="00FF0D7D" w:rsidRPr="00FF0D7D">
        <w:rPr>
          <w:sz w:val="20"/>
          <w:szCs w:val="20"/>
        </w:rPr>
        <w:t xml:space="preserve">, </w:t>
      </w:r>
      <w:hyperlink r:id="rId1" w:history="1">
        <w:r w:rsidR="00DD6ADC" w:rsidRPr="00413C1A">
          <w:rPr>
            <w:rStyle w:val="Hyperlink"/>
            <w:sz w:val="20"/>
            <w:szCs w:val="20"/>
          </w:rPr>
          <w:t>https://www.virginiaredistricting.org/map.aspx</w:t>
        </w:r>
      </w:hyperlink>
      <w:r w:rsidR="00FF0D7D" w:rsidRPr="00FF0D7D">
        <w:rPr>
          <w:sz w:val="20"/>
          <w:szCs w:val="20"/>
        </w:rPr>
        <w:t>.</w:t>
      </w:r>
      <w:r w:rsidR="00DD6ADC">
        <w:rPr>
          <w:sz w:val="20"/>
          <w:szCs w:val="20"/>
        </w:rPr>
        <w:t xml:space="preserve"> </w:t>
      </w:r>
    </w:p>
  </w:footnote>
  <w:footnote w:id="4">
    <w:p w14:paraId="61849D4C" w14:textId="4177F814" w:rsidR="00DD6ADC" w:rsidRPr="00FF0D7D" w:rsidRDefault="00DD6ADC" w:rsidP="00DD6ADC">
      <w:pPr>
        <w:pStyle w:val="NormalWeb"/>
        <w:contextualSpacing/>
        <w:rPr>
          <w:sz w:val="20"/>
          <w:szCs w:val="20"/>
        </w:rPr>
      </w:pPr>
      <w:r w:rsidRPr="00FF0D7D">
        <w:rPr>
          <w:rStyle w:val="FootnoteReference"/>
          <w:sz w:val="20"/>
          <w:szCs w:val="20"/>
        </w:rPr>
        <w:footnoteRef/>
      </w:r>
      <w:r w:rsidRPr="00FF0D7D">
        <w:rPr>
          <w:sz w:val="20"/>
          <w:szCs w:val="20"/>
        </w:rPr>
        <w:t xml:space="preserve"> </w:t>
      </w:r>
      <w:r w:rsidRPr="00FF0D7D">
        <w:rPr>
          <w:rFonts w:ascii="Times" w:hAnsi="Times"/>
          <w:color w:val="262626"/>
          <w:sz w:val="20"/>
          <w:szCs w:val="20"/>
          <w:shd w:val="clear" w:color="auto" w:fill="FFFFFF"/>
        </w:rPr>
        <w:t>155 F. Supp. 3d 552 (E.D. Va. 2016).</w:t>
      </w:r>
    </w:p>
  </w:footnote>
  <w:footnote w:id="5">
    <w:p w14:paraId="43C27AE3" w14:textId="07B3DC57" w:rsidR="0087094A" w:rsidRPr="00FF0D7D" w:rsidRDefault="0087094A" w:rsidP="00FF0D7D">
      <w:pPr>
        <w:pStyle w:val="NormalWeb"/>
        <w:contextualSpacing/>
        <w:rPr>
          <w:sz w:val="20"/>
          <w:szCs w:val="20"/>
        </w:rPr>
      </w:pPr>
      <w:r w:rsidRPr="00FF0D7D">
        <w:rPr>
          <w:rStyle w:val="FootnoteReference"/>
          <w:sz w:val="20"/>
          <w:szCs w:val="20"/>
        </w:rPr>
        <w:footnoteRef/>
      </w:r>
      <w:r w:rsidRPr="00FF0D7D">
        <w:rPr>
          <w:sz w:val="20"/>
          <w:szCs w:val="20"/>
        </w:rPr>
        <w:t xml:space="preserve"> </w:t>
      </w:r>
      <w:r w:rsidR="00FF0D7D" w:rsidRPr="00FF0D7D">
        <w:rPr>
          <w:sz w:val="20"/>
          <w:szCs w:val="20"/>
        </w:rPr>
        <w:t xml:space="preserve">“About Us.” </w:t>
      </w:r>
      <w:r w:rsidR="00FF0D7D" w:rsidRPr="00FF0D7D">
        <w:rPr>
          <w:i/>
          <w:iCs/>
          <w:sz w:val="20"/>
          <w:szCs w:val="20"/>
        </w:rPr>
        <w:t>OneVirginia2021 Foundation</w:t>
      </w:r>
      <w:r w:rsidR="00FF0D7D" w:rsidRPr="00FF0D7D">
        <w:rPr>
          <w:sz w:val="20"/>
          <w:szCs w:val="20"/>
        </w:rPr>
        <w:t xml:space="preserve">, https://www.onevirginia2021foundation.org/about. </w:t>
      </w:r>
    </w:p>
  </w:footnote>
  <w:footnote w:id="6">
    <w:p w14:paraId="54518F93" w14:textId="77777777" w:rsidR="00FF0D7D" w:rsidRPr="00FF0D7D" w:rsidRDefault="00BD4CA1" w:rsidP="00FF0D7D">
      <w:pPr>
        <w:pStyle w:val="NormalWeb"/>
        <w:contextualSpacing/>
        <w:rPr>
          <w:sz w:val="20"/>
          <w:szCs w:val="20"/>
        </w:rPr>
      </w:pPr>
      <w:r w:rsidRPr="00FF0D7D">
        <w:rPr>
          <w:rStyle w:val="FootnoteReference"/>
          <w:sz w:val="20"/>
          <w:szCs w:val="20"/>
        </w:rPr>
        <w:footnoteRef/>
      </w:r>
      <w:r w:rsidRPr="00FF0D7D">
        <w:rPr>
          <w:sz w:val="20"/>
          <w:szCs w:val="20"/>
        </w:rPr>
        <w:t xml:space="preserve"> </w:t>
      </w:r>
      <w:r w:rsidR="00FF0D7D" w:rsidRPr="00FF0D7D">
        <w:rPr>
          <w:i/>
          <w:iCs/>
          <w:sz w:val="20"/>
          <w:szCs w:val="20"/>
        </w:rPr>
        <w:t>Virginia Redistricting</w:t>
      </w:r>
      <w:r w:rsidR="00FF0D7D" w:rsidRPr="00FF0D7D">
        <w:rPr>
          <w:sz w:val="20"/>
          <w:szCs w:val="20"/>
        </w:rPr>
        <w:t>, https://www.virginiaredistricting.org/map.aspx.</w:t>
      </w:r>
    </w:p>
    <w:p w14:paraId="29BEE0AF" w14:textId="57FDEE51" w:rsidR="00BD4CA1" w:rsidRDefault="00BD4CA1">
      <w:pPr>
        <w:pStyle w:val="FootnoteText"/>
      </w:pPr>
    </w:p>
  </w:footnote>
  <w:footnote w:id="7">
    <w:p w14:paraId="75ED188C" w14:textId="3717A11E" w:rsidR="008F6683" w:rsidRDefault="008F6683">
      <w:pPr>
        <w:pStyle w:val="FootnoteText"/>
      </w:pPr>
      <w:r>
        <w:rPr>
          <w:rStyle w:val="FootnoteReference"/>
        </w:rPr>
        <w:footnoteRef/>
      </w:r>
      <w:r>
        <w:t xml:space="preserve"> </w:t>
      </w:r>
      <w:r w:rsidRPr="00570EDE">
        <w:t>Leonor, Mel. “Virginia Is Growing More Diverse; Population Growth Reserved for Urban and Suburban Areas.”</w:t>
      </w:r>
      <w:r>
        <w:t xml:space="preserve"> </w:t>
      </w:r>
      <w:r w:rsidRPr="00570EDE">
        <w:rPr>
          <w:i/>
          <w:iCs/>
        </w:rPr>
        <w:t>Richmond Times-Dispatch</w:t>
      </w:r>
      <w:r w:rsidRPr="00570EDE">
        <w:t>, 14 Aug. 2021, https://richmond.com/news/state-and-regional/virginia-is-growing-more-diverse-population-growth-reserved-for-urban-and-suburban-areas/article_5176176f-7d62-54b2-940c-1ecc7dbc4f23.html#:~:text=Virginia's%20population%20grew%207.9%25%20between,from%208%20million%20in%202010. Accessed 3 Apr. 2022.</w:t>
      </w:r>
    </w:p>
  </w:footnote>
  <w:footnote w:id="8">
    <w:p w14:paraId="0B525E73" w14:textId="79899BF1" w:rsidR="008F6683" w:rsidRPr="008F6683" w:rsidRDefault="008F6683" w:rsidP="008F6683">
      <w:pPr>
        <w:pStyle w:val="FootnoteText"/>
      </w:pPr>
      <w:r>
        <w:rPr>
          <w:rStyle w:val="FootnoteReference"/>
        </w:rPr>
        <w:footnoteRef/>
      </w:r>
      <w:r>
        <w:t xml:space="preserve"> </w:t>
      </w:r>
      <w:r>
        <w:rPr>
          <w:i/>
          <w:iCs/>
        </w:rPr>
        <w:t>Id.</w:t>
      </w:r>
    </w:p>
  </w:footnote>
  <w:footnote w:id="9">
    <w:p w14:paraId="10A272EF" w14:textId="068A8BEF" w:rsidR="008F6683" w:rsidRDefault="008F6683">
      <w:pPr>
        <w:pStyle w:val="FootnoteText"/>
      </w:pPr>
      <w:r>
        <w:rPr>
          <w:rStyle w:val="FootnoteReference"/>
        </w:rPr>
        <w:footnoteRef/>
      </w:r>
      <w:r>
        <w:t xml:space="preserve"> </w:t>
      </w:r>
      <w:r w:rsidRPr="006D6568">
        <w:rPr>
          <w:i/>
          <w:iCs/>
        </w:rPr>
        <w:t xml:space="preserve">U.S. Census Bureau </w:t>
      </w:r>
      <w:proofErr w:type="spellStart"/>
      <w:r w:rsidRPr="006D6568">
        <w:rPr>
          <w:i/>
          <w:iCs/>
        </w:rPr>
        <w:t>Quickfacts</w:t>
      </w:r>
      <w:proofErr w:type="spellEnd"/>
      <w:r w:rsidRPr="006D6568">
        <w:rPr>
          <w:i/>
          <w:iCs/>
        </w:rPr>
        <w:t>: Virginia</w:t>
      </w:r>
      <w:r w:rsidRPr="006D6568">
        <w:t>. https://www.census.gov/quickfacts/fact/table/VA/PST045221.</w:t>
      </w:r>
    </w:p>
  </w:footnote>
  <w:footnote w:id="10">
    <w:p w14:paraId="6A581C81" w14:textId="0F439B4E" w:rsidR="00E52CC2" w:rsidRDefault="00E52CC2" w:rsidP="00E52CC2">
      <w:pPr>
        <w:pStyle w:val="FootnoteText"/>
      </w:pPr>
      <w:r>
        <w:rPr>
          <w:rStyle w:val="FootnoteReference"/>
        </w:rPr>
        <w:footnoteRef/>
      </w:r>
      <w:r>
        <w:t xml:space="preserve"> </w:t>
      </w:r>
      <w:r w:rsidR="006D6568" w:rsidRPr="00570EDE">
        <w:t>Leonor, Mel. “Virginia Is Growing More Diverse; Population Growth Reserved for Urban and Suburban Areas.”</w:t>
      </w:r>
      <w:r w:rsidR="006D6568">
        <w:t xml:space="preserve"> </w:t>
      </w:r>
      <w:r w:rsidR="006D6568" w:rsidRPr="00570EDE">
        <w:rPr>
          <w:i/>
          <w:iCs/>
        </w:rPr>
        <w:t>Richmond Times-Dispatch</w:t>
      </w:r>
      <w:r w:rsidR="006D6568" w:rsidRPr="00570EDE">
        <w:t>, 14 Aug. 2021, https://richmond.com/news/state-and-regional/virginia-is-growing-more-diverse-population-growth-reserved-for-urban-and-suburban-areas/article_5176176f-7d62-54b2-940c-1ecc7dbc4f23.html#:~:text=Virginia's%20population%20grew%207.9%25%20between,from%208%20million%20in%202010. Accessed 3 Apr. 2022</w:t>
      </w:r>
    </w:p>
  </w:footnote>
  <w:footnote w:id="11">
    <w:p w14:paraId="7270FF74" w14:textId="28099DE3" w:rsidR="00776715" w:rsidRDefault="00776715">
      <w:pPr>
        <w:pStyle w:val="FootnoteText"/>
      </w:pPr>
      <w:r>
        <w:rPr>
          <w:rStyle w:val="FootnoteReference"/>
        </w:rPr>
        <w:footnoteRef/>
      </w:r>
      <w:r>
        <w:t xml:space="preserve"> </w:t>
      </w:r>
      <w:proofErr w:type="spellStart"/>
      <w:r w:rsidRPr="00AC2D1B">
        <w:rPr>
          <w:i/>
          <w:iCs/>
        </w:rPr>
        <w:t>Karcher</w:t>
      </w:r>
      <w:proofErr w:type="spellEnd"/>
      <w:r w:rsidRPr="00AC2D1B">
        <w:rPr>
          <w:i/>
          <w:iCs/>
        </w:rPr>
        <w:t xml:space="preserve"> v. Daggett</w:t>
      </w:r>
      <w:r>
        <w:t>, 462 U.S. 725 (1983).</w:t>
      </w:r>
    </w:p>
  </w:footnote>
  <w:footnote w:id="12">
    <w:p w14:paraId="73DC4E50" w14:textId="255359F9" w:rsidR="001E4700" w:rsidRPr="008F5190" w:rsidRDefault="001E4700" w:rsidP="008F5190">
      <w:pPr>
        <w:rPr>
          <w:rFonts w:ascii="Times" w:hAnsi="Times"/>
          <w:sz w:val="20"/>
          <w:szCs w:val="20"/>
        </w:rPr>
      </w:pPr>
      <w:r w:rsidRPr="008F5190">
        <w:rPr>
          <w:rStyle w:val="FootnoteReference"/>
          <w:rFonts w:ascii="Times" w:hAnsi="Times"/>
          <w:sz w:val="20"/>
          <w:szCs w:val="20"/>
        </w:rPr>
        <w:footnoteRef/>
      </w:r>
      <w:r w:rsidRPr="008F5190">
        <w:rPr>
          <w:rFonts w:ascii="Times" w:hAnsi="Times"/>
          <w:sz w:val="20"/>
          <w:szCs w:val="20"/>
        </w:rPr>
        <w:t xml:space="preserve"> </w:t>
      </w:r>
      <w:r w:rsidR="00A24A55" w:rsidRPr="00C4172D">
        <w:rPr>
          <w:sz w:val="20"/>
          <w:szCs w:val="20"/>
        </w:rPr>
        <w:t>Va. Code Ann. § 24.2-304.04.</w:t>
      </w:r>
    </w:p>
  </w:footnote>
  <w:footnote w:id="13">
    <w:p w14:paraId="41B1D21F" w14:textId="78D1748E" w:rsidR="008F6683" w:rsidRDefault="008F6683">
      <w:pPr>
        <w:pStyle w:val="FootnoteText"/>
      </w:pPr>
      <w:r>
        <w:rPr>
          <w:rStyle w:val="FootnoteReference"/>
        </w:rPr>
        <w:footnoteRef/>
      </w:r>
      <w:r>
        <w:t xml:space="preserve"> </w:t>
      </w:r>
      <w:r w:rsidRPr="008F5190">
        <w:rPr>
          <w:rFonts w:ascii="Times" w:hAnsi="Times"/>
          <w:i/>
          <w:iCs/>
          <w:color w:val="1E2328"/>
        </w:rPr>
        <w:t xml:space="preserve">Miller v. Johnson, </w:t>
      </w:r>
      <w:r w:rsidRPr="008F5190">
        <w:rPr>
          <w:rFonts w:ascii="Times" w:hAnsi="Times"/>
          <w:color w:val="1E2328"/>
        </w:rPr>
        <w:t>515 U.S. 900, 911 (1995).</w:t>
      </w:r>
    </w:p>
  </w:footnote>
  <w:footnote w:id="14">
    <w:p w14:paraId="5DF7A7B4" w14:textId="24D8F138" w:rsidR="008F6683" w:rsidRDefault="008F6683">
      <w:pPr>
        <w:pStyle w:val="FootnoteText"/>
      </w:pPr>
      <w:r>
        <w:rPr>
          <w:rStyle w:val="FootnoteReference"/>
        </w:rPr>
        <w:footnoteRef/>
      </w:r>
      <w:r>
        <w:t xml:space="preserve"> </w:t>
      </w:r>
      <w:r w:rsidRPr="008F5190">
        <w:rPr>
          <w:rFonts w:ascii="Times" w:hAnsi="Times"/>
          <w:i/>
          <w:iCs/>
        </w:rPr>
        <w:t>Shaw v. Reno</w:t>
      </w:r>
      <w:r w:rsidRPr="008F5190">
        <w:rPr>
          <w:rFonts w:ascii="Times" w:hAnsi="Times"/>
        </w:rPr>
        <w:t>, 509 U.S. 630 (1993).</w:t>
      </w:r>
    </w:p>
  </w:footnote>
  <w:footnote w:id="15">
    <w:p w14:paraId="6247F5F2" w14:textId="50BF1BB0" w:rsidR="008F6683" w:rsidRDefault="008F6683">
      <w:pPr>
        <w:pStyle w:val="FootnoteText"/>
      </w:pPr>
      <w:r>
        <w:rPr>
          <w:rStyle w:val="FootnoteReference"/>
        </w:rPr>
        <w:footnoteRef/>
      </w:r>
      <w:r>
        <w:t xml:space="preserve"> </w:t>
      </w:r>
      <w:r>
        <w:rPr>
          <w:rFonts w:ascii="TimesNewRomanPSMT" w:hAnsi="TimesNewRomanPSMT"/>
        </w:rPr>
        <w:t>Voting Rights Act, 52 USC § 10301 (2014).</w:t>
      </w:r>
    </w:p>
  </w:footnote>
  <w:footnote w:id="16">
    <w:p w14:paraId="34241670" w14:textId="4D0C4817" w:rsidR="00AC0813" w:rsidRPr="008F5190" w:rsidRDefault="00AC0813" w:rsidP="00AC0813">
      <w:pPr>
        <w:rPr>
          <w:rFonts w:ascii="Times" w:hAnsi="Times"/>
          <w:sz w:val="20"/>
          <w:szCs w:val="20"/>
        </w:rPr>
      </w:pPr>
      <w:r w:rsidRPr="008F5190">
        <w:rPr>
          <w:rStyle w:val="FootnoteReference"/>
          <w:rFonts w:ascii="Times" w:hAnsi="Times"/>
          <w:sz w:val="20"/>
          <w:szCs w:val="20"/>
        </w:rPr>
        <w:footnoteRef/>
      </w:r>
      <w:r w:rsidR="009335D1">
        <w:rPr>
          <w:rFonts w:ascii="Times" w:hAnsi="Times"/>
          <w:sz w:val="20"/>
          <w:szCs w:val="20"/>
        </w:rPr>
        <w:t xml:space="preserve"> </w:t>
      </w:r>
      <w:r w:rsidR="00A24A55" w:rsidRPr="00C4172D">
        <w:rPr>
          <w:sz w:val="20"/>
          <w:szCs w:val="20"/>
        </w:rPr>
        <w:t>Va. Code Ann. § 24.2-304.04.</w:t>
      </w:r>
    </w:p>
  </w:footnote>
  <w:footnote w:id="17">
    <w:p w14:paraId="5C3D3D4E" w14:textId="53D553A4" w:rsidR="008F6683" w:rsidRDefault="008F6683">
      <w:pPr>
        <w:pStyle w:val="FootnoteText"/>
      </w:pPr>
      <w:r>
        <w:rPr>
          <w:rStyle w:val="FootnoteReference"/>
        </w:rPr>
        <w:footnoteRef/>
      </w:r>
      <w:r>
        <w:t xml:space="preserve"> </w:t>
      </w:r>
      <w:r>
        <w:rPr>
          <w:rFonts w:ascii="TimesNewRomanPS" w:hAnsi="TimesNewRomanPS"/>
          <w:i/>
          <w:iCs/>
        </w:rPr>
        <w:t xml:space="preserve">Thornburg v. </w:t>
      </w:r>
      <w:proofErr w:type="spellStart"/>
      <w:r>
        <w:rPr>
          <w:rFonts w:ascii="TimesNewRomanPS" w:hAnsi="TimesNewRomanPS"/>
          <w:i/>
          <w:iCs/>
        </w:rPr>
        <w:t>Gingles</w:t>
      </w:r>
      <w:proofErr w:type="spellEnd"/>
      <w:r>
        <w:rPr>
          <w:rFonts w:ascii="TimesNewRomanPSMT" w:hAnsi="TimesNewRomanPSMT"/>
        </w:rPr>
        <w:t>, 478 U.S. 30, 50–51 (1986).</w:t>
      </w:r>
    </w:p>
  </w:footnote>
  <w:footnote w:id="18">
    <w:p w14:paraId="183F0EBC" w14:textId="46771E8A" w:rsidR="006D523E" w:rsidRPr="006D523E" w:rsidRDefault="006D523E">
      <w:pPr>
        <w:pStyle w:val="FootnoteText"/>
        <w:rPr>
          <w:i/>
          <w:iCs/>
        </w:rPr>
      </w:pPr>
      <w:r>
        <w:rPr>
          <w:rStyle w:val="FootnoteReference"/>
        </w:rPr>
        <w:footnoteRef/>
      </w:r>
      <w:r>
        <w:t xml:space="preserve"> </w:t>
      </w:r>
      <w:r>
        <w:rPr>
          <w:i/>
          <w:iCs/>
        </w:rPr>
        <w:t>Id.</w:t>
      </w:r>
    </w:p>
  </w:footnote>
  <w:footnote w:id="19">
    <w:p w14:paraId="762C7245" w14:textId="318382EA" w:rsidR="007E25EE" w:rsidRDefault="007E25EE" w:rsidP="00C408FC">
      <w:r>
        <w:rPr>
          <w:rStyle w:val="FootnoteReference"/>
        </w:rPr>
        <w:footnoteRef/>
      </w:r>
      <w:r>
        <w:t xml:space="preserve"> </w:t>
      </w:r>
      <w:r w:rsidR="00C408FC" w:rsidRPr="00C408FC">
        <w:rPr>
          <w:rFonts w:ascii="Times" w:hAnsi="Times" w:cs="Arial"/>
          <w:color w:val="222222"/>
          <w:sz w:val="20"/>
          <w:szCs w:val="20"/>
          <w:shd w:val="clear" w:color="auto" w:fill="FFFFFF"/>
        </w:rPr>
        <w:t>Katz, Ellen. "Documenting Discrimination in Voting: Judicial Findings." </w:t>
      </w:r>
      <w:r w:rsidR="00C408FC" w:rsidRPr="00C408FC">
        <w:rPr>
          <w:rFonts w:ascii="Times" w:hAnsi="Times" w:cs="Arial"/>
          <w:i/>
          <w:iCs/>
          <w:color w:val="222222"/>
          <w:sz w:val="20"/>
          <w:szCs w:val="20"/>
          <w:shd w:val="clear" w:color="auto" w:fill="FFFFFF"/>
        </w:rPr>
        <w:t>University of Michigan Journal of Law Reform</w:t>
      </w:r>
      <w:r w:rsidR="00C408FC" w:rsidRPr="00C408FC">
        <w:rPr>
          <w:rFonts w:ascii="Times" w:hAnsi="Times" w:cs="Arial"/>
          <w:color w:val="222222"/>
          <w:sz w:val="20"/>
          <w:szCs w:val="20"/>
          <w:shd w:val="clear" w:color="auto" w:fill="FFFFFF"/>
        </w:rPr>
        <w:t> 39.4 (2005)</w:t>
      </w:r>
      <w:r w:rsidR="001117DD">
        <w:rPr>
          <w:rFonts w:ascii="Times" w:hAnsi="Times" w:cs="Arial"/>
          <w:color w:val="222222"/>
          <w:sz w:val="20"/>
          <w:szCs w:val="20"/>
          <w:shd w:val="clear" w:color="auto" w:fill="FFFFFF"/>
        </w:rPr>
        <w:t>, p. 7.</w:t>
      </w:r>
    </w:p>
  </w:footnote>
  <w:footnote w:id="20">
    <w:p w14:paraId="76697785" w14:textId="3F67588F" w:rsidR="00541C09" w:rsidRDefault="00541C09" w:rsidP="00541C09">
      <w:pPr>
        <w:pStyle w:val="FootnoteText"/>
      </w:pPr>
      <w:r>
        <w:rPr>
          <w:rStyle w:val="FootnoteReference"/>
        </w:rPr>
        <w:footnoteRef/>
      </w:r>
      <w:r>
        <w:t xml:space="preserve"> </w:t>
      </w:r>
      <w:r w:rsidR="0060429B">
        <w:t>Br</w:t>
      </w:r>
      <w:r w:rsidR="00446E25">
        <w:t>ief</w:t>
      </w:r>
      <w:r w:rsidR="0060429B">
        <w:t xml:space="preserve"> for the Virginia State Conference of the NAACP, p. 26, </w:t>
      </w:r>
      <w:r w:rsidR="00446E25">
        <w:t>December 17, 2021.</w:t>
      </w:r>
    </w:p>
  </w:footnote>
  <w:footnote w:id="21">
    <w:p w14:paraId="63957F8A" w14:textId="3ECF320E" w:rsidR="00412ABB" w:rsidRDefault="00412ABB">
      <w:pPr>
        <w:pStyle w:val="FootnoteText"/>
      </w:pPr>
      <w:r>
        <w:rPr>
          <w:rStyle w:val="FootnoteReference"/>
        </w:rPr>
        <w:footnoteRef/>
      </w:r>
      <w:r>
        <w:t xml:space="preserve"> </w:t>
      </w:r>
      <w:r w:rsidR="008F6683">
        <w:rPr>
          <w:i/>
          <w:iCs/>
        </w:rPr>
        <w:t xml:space="preserve">Id. </w:t>
      </w:r>
      <w:r w:rsidR="008F6683">
        <w:t xml:space="preserve">at </w:t>
      </w:r>
      <w:r>
        <w:t>15</w:t>
      </w:r>
      <w:r w:rsidR="008F6683">
        <w:t>.</w:t>
      </w:r>
    </w:p>
  </w:footnote>
  <w:footnote w:id="22">
    <w:p w14:paraId="463F0FFD" w14:textId="114DD352" w:rsidR="00B629C4" w:rsidRPr="000B3F47" w:rsidRDefault="00B629C4" w:rsidP="00B629C4">
      <w:pPr>
        <w:pStyle w:val="FootnoteText"/>
      </w:pPr>
      <w:r>
        <w:rPr>
          <w:rStyle w:val="FootnoteReference"/>
        </w:rPr>
        <w:footnoteRef/>
      </w:r>
      <w:r>
        <w:t xml:space="preserve"> </w:t>
      </w:r>
      <w:r w:rsidR="000B3F47">
        <w:rPr>
          <w:i/>
          <w:iCs/>
        </w:rPr>
        <w:t xml:space="preserve">Id. </w:t>
      </w:r>
      <w:r w:rsidR="000B3F47">
        <w:t>at 34.</w:t>
      </w:r>
    </w:p>
  </w:footnote>
  <w:footnote w:id="23">
    <w:p w14:paraId="6F2F66EE" w14:textId="224F82B8" w:rsidR="000B3F47" w:rsidRPr="000B3F47" w:rsidRDefault="000B3F47" w:rsidP="000B3F47">
      <w:pPr>
        <w:pStyle w:val="FootnoteText"/>
      </w:pPr>
      <w:r>
        <w:rPr>
          <w:rStyle w:val="FootnoteReference"/>
        </w:rPr>
        <w:footnoteRef/>
      </w:r>
      <w:r>
        <w:t xml:space="preserve"> </w:t>
      </w:r>
      <w:r>
        <w:rPr>
          <w:i/>
          <w:iCs/>
        </w:rPr>
        <w:t xml:space="preserve">Id. </w:t>
      </w:r>
      <w:r>
        <w:t>at 40.</w:t>
      </w:r>
    </w:p>
  </w:footnote>
  <w:footnote w:id="24">
    <w:p w14:paraId="4EC49E97" w14:textId="665E047A" w:rsidR="00966C99" w:rsidRPr="009863D7" w:rsidRDefault="00966C99" w:rsidP="009863D7">
      <w:pPr>
        <w:rPr>
          <w:sz w:val="20"/>
          <w:szCs w:val="20"/>
        </w:rPr>
      </w:pPr>
      <w:r w:rsidRPr="009863D7">
        <w:rPr>
          <w:rStyle w:val="FootnoteReference"/>
          <w:sz w:val="20"/>
          <w:szCs w:val="20"/>
        </w:rPr>
        <w:footnoteRef/>
      </w:r>
      <w:r w:rsidRPr="009863D7">
        <w:rPr>
          <w:sz w:val="20"/>
          <w:szCs w:val="20"/>
        </w:rPr>
        <w:t xml:space="preserve"> </w:t>
      </w:r>
      <w:proofErr w:type="spellStart"/>
      <w:r w:rsidRPr="009863D7">
        <w:rPr>
          <w:i/>
          <w:iCs/>
          <w:sz w:val="20"/>
          <w:szCs w:val="20"/>
        </w:rPr>
        <w:t>Personhuballah</w:t>
      </w:r>
      <w:proofErr w:type="spellEnd"/>
      <w:r w:rsidRPr="009863D7">
        <w:rPr>
          <w:i/>
          <w:iCs/>
          <w:sz w:val="20"/>
          <w:szCs w:val="20"/>
        </w:rPr>
        <w:t xml:space="preserve"> v. Alcorn</w:t>
      </w:r>
      <w:r w:rsidRPr="009863D7">
        <w:rPr>
          <w:sz w:val="20"/>
          <w:szCs w:val="20"/>
        </w:rPr>
        <w:t>, 155 F. Supp. 3d 552, 565 (E.D. Va. 2016)</w:t>
      </w:r>
      <w:r w:rsidR="009863D7">
        <w:rPr>
          <w:sz w:val="20"/>
          <w:szCs w:val="20"/>
        </w:rPr>
        <w:t>.</w:t>
      </w:r>
    </w:p>
  </w:footnote>
  <w:footnote w:id="25">
    <w:p w14:paraId="3BC78226" w14:textId="472A2CEA" w:rsidR="00A35F12" w:rsidRPr="00A0461C" w:rsidRDefault="00A35F12" w:rsidP="00A0461C">
      <w:pPr>
        <w:rPr>
          <w:sz w:val="20"/>
          <w:szCs w:val="20"/>
        </w:rPr>
      </w:pPr>
      <w:r w:rsidRPr="009863D7">
        <w:rPr>
          <w:rStyle w:val="FootnoteReference"/>
          <w:sz w:val="20"/>
          <w:szCs w:val="20"/>
        </w:rPr>
        <w:footnoteRef/>
      </w:r>
      <w:r w:rsidRPr="009863D7">
        <w:rPr>
          <w:sz w:val="20"/>
          <w:szCs w:val="20"/>
        </w:rPr>
        <w:t xml:space="preserve"> </w:t>
      </w:r>
      <w:r w:rsidR="009863D7">
        <w:rPr>
          <w:i/>
          <w:iCs/>
          <w:sz w:val="20"/>
          <w:szCs w:val="20"/>
        </w:rPr>
        <w:t>Id.</w:t>
      </w:r>
    </w:p>
  </w:footnote>
  <w:footnote w:id="26">
    <w:p w14:paraId="204F9B31" w14:textId="4853AAE5" w:rsidR="00B629C4" w:rsidRDefault="00B629C4" w:rsidP="00B629C4">
      <w:pPr>
        <w:pStyle w:val="FootnoteText"/>
      </w:pPr>
      <w:r>
        <w:rPr>
          <w:rStyle w:val="FootnoteReference"/>
        </w:rPr>
        <w:footnoteRef/>
      </w:r>
      <w:r>
        <w:t xml:space="preserve"> </w:t>
      </w:r>
      <w:r w:rsidR="00C75362">
        <w:rPr>
          <w:i/>
          <w:iCs/>
        </w:rPr>
        <w:t>Id.</w:t>
      </w:r>
      <w:r w:rsidR="00C75362">
        <w:rPr>
          <w:i/>
          <w:iCs/>
        </w:rPr>
        <w:t xml:space="preserve"> </w:t>
      </w:r>
      <w:r w:rsidR="00C75362">
        <w:t xml:space="preserve">at </w:t>
      </w:r>
      <w:r>
        <w:rPr>
          <w:color w:val="212529"/>
          <w:shd w:val="clear" w:color="auto" w:fill="FFFFFF"/>
        </w:rPr>
        <w:t>552</w:t>
      </w:r>
      <w:r w:rsidR="00C75362">
        <w:rPr>
          <w:color w:val="212529"/>
          <w:shd w:val="clear" w:color="auto" w:fill="FFFFFF"/>
        </w:rPr>
        <w:t>.</w:t>
      </w:r>
    </w:p>
  </w:footnote>
  <w:footnote w:id="27">
    <w:p w14:paraId="0906E07D" w14:textId="0F5CD654" w:rsidR="00E55BEE" w:rsidRDefault="00E55BEE">
      <w:pPr>
        <w:pStyle w:val="FootnoteText"/>
      </w:pPr>
      <w:r>
        <w:rPr>
          <w:rStyle w:val="FootnoteReference"/>
        </w:rPr>
        <w:footnoteRef/>
      </w:r>
      <w:r>
        <w:t xml:space="preserve"> </w:t>
      </w:r>
      <w:proofErr w:type="spellStart"/>
      <w:r w:rsidR="00D45EAC">
        <w:t>Grofman</w:t>
      </w:r>
      <w:proofErr w:type="spellEnd"/>
      <w:r w:rsidR="00D45EAC">
        <w:t xml:space="preserve">, Bernard and </w:t>
      </w:r>
      <w:proofErr w:type="spellStart"/>
      <w:r w:rsidR="00D45EAC">
        <w:t>Trende</w:t>
      </w:r>
      <w:proofErr w:type="spellEnd"/>
      <w:r w:rsidR="00D45EAC">
        <w:t xml:space="preserve">, Sean. </w:t>
      </w:r>
      <w:r w:rsidR="009B008E">
        <w:t>“</w:t>
      </w:r>
      <w:r w:rsidR="00D45EAC">
        <w:t>Memorandum Re: VA Redistricting 2021 to the Chief Justice and Justices of the Supreme Court of Virginia</w:t>
      </w:r>
      <w:r w:rsidR="009B008E">
        <w:t>” (2021), p. 14.</w:t>
      </w:r>
    </w:p>
  </w:footnote>
  <w:footnote w:id="28">
    <w:p w14:paraId="7B9ADF96" w14:textId="50915BF5" w:rsidR="00734B83" w:rsidRPr="008F5190" w:rsidRDefault="00734B83" w:rsidP="00734B83">
      <w:pPr>
        <w:rPr>
          <w:rFonts w:ascii="Times" w:hAnsi="Times"/>
          <w:sz w:val="20"/>
          <w:szCs w:val="20"/>
        </w:rPr>
      </w:pPr>
      <w:r w:rsidRPr="008F5190">
        <w:rPr>
          <w:rStyle w:val="FootnoteReference"/>
          <w:rFonts w:ascii="Times" w:hAnsi="Times"/>
          <w:sz w:val="20"/>
          <w:szCs w:val="20"/>
        </w:rPr>
        <w:footnoteRef/>
      </w:r>
      <w:r w:rsidRPr="008F5190">
        <w:rPr>
          <w:rFonts w:ascii="Times" w:hAnsi="Times"/>
          <w:sz w:val="20"/>
          <w:szCs w:val="20"/>
        </w:rPr>
        <w:t xml:space="preserve"> </w:t>
      </w:r>
      <w:r w:rsidR="00A24A55" w:rsidRPr="00C4172D">
        <w:rPr>
          <w:sz w:val="20"/>
          <w:szCs w:val="20"/>
        </w:rPr>
        <w:t>Va. Code Ann. § 24.2-304.04.</w:t>
      </w:r>
    </w:p>
  </w:footnote>
  <w:footnote w:id="29">
    <w:p w14:paraId="3CC3680B" w14:textId="52A5632B" w:rsidR="00FF5F78" w:rsidRDefault="00FF5F78">
      <w:pPr>
        <w:pStyle w:val="FootnoteText"/>
      </w:pPr>
      <w:r>
        <w:rPr>
          <w:rStyle w:val="FootnoteReference"/>
        </w:rPr>
        <w:footnoteRef/>
      </w:r>
      <w:r>
        <w:t xml:space="preserve"> </w:t>
      </w:r>
      <w:proofErr w:type="spellStart"/>
      <w:r w:rsidR="009B008E">
        <w:t>Grofman</w:t>
      </w:r>
      <w:proofErr w:type="spellEnd"/>
      <w:r w:rsidR="009B008E">
        <w:t xml:space="preserve">, Bernard and </w:t>
      </w:r>
      <w:proofErr w:type="spellStart"/>
      <w:r w:rsidR="009B008E">
        <w:t>Trende</w:t>
      </w:r>
      <w:proofErr w:type="spellEnd"/>
      <w:r w:rsidR="009B008E">
        <w:t>, Sean. “Memorandum Re: VA Redistricting 2021 to the Chief Justice and Justices of the Supreme Court of Virginia” (2021), p.</w:t>
      </w:r>
      <w:r w:rsidR="009B008E">
        <w:t xml:space="preserve"> 7.</w:t>
      </w:r>
    </w:p>
  </w:footnote>
  <w:footnote w:id="30">
    <w:p w14:paraId="72128692" w14:textId="1FF3530C" w:rsidR="00734B83" w:rsidRPr="008F5190" w:rsidRDefault="00734B83" w:rsidP="00734B83">
      <w:pPr>
        <w:rPr>
          <w:rFonts w:ascii="Times" w:hAnsi="Times"/>
          <w:sz w:val="20"/>
          <w:szCs w:val="20"/>
        </w:rPr>
      </w:pPr>
      <w:r w:rsidRPr="008F5190">
        <w:rPr>
          <w:rStyle w:val="FootnoteReference"/>
          <w:rFonts w:ascii="Times" w:hAnsi="Times"/>
          <w:sz w:val="20"/>
          <w:szCs w:val="20"/>
        </w:rPr>
        <w:footnoteRef/>
      </w:r>
      <w:r w:rsidRPr="008F5190">
        <w:rPr>
          <w:rFonts w:ascii="Times" w:hAnsi="Times"/>
          <w:sz w:val="20"/>
          <w:szCs w:val="20"/>
        </w:rPr>
        <w:t xml:space="preserve"> </w:t>
      </w:r>
      <w:r w:rsidR="00A24A55" w:rsidRPr="00C4172D">
        <w:rPr>
          <w:sz w:val="20"/>
          <w:szCs w:val="20"/>
        </w:rPr>
        <w:t>Va. Code Ann. § 24.2-304.04.</w:t>
      </w:r>
    </w:p>
  </w:footnote>
  <w:footnote w:id="31">
    <w:p w14:paraId="2C83E0BE" w14:textId="77777777" w:rsidR="00B647B7" w:rsidRPr="008F5190" w:rsidRDefault="00B647B7" w:rsidP="00B647B7">
      <w:pPr>
        <w:rPr>
          <w:rFonts w:ascii="Times" w:hAnsi="Times"/>
          <w:sz w:val="20"/>
          <w:szCs w:val="20"/>
        </w:rPr>
      </w:pPr>
      <w:r w:rsidRPr="008F5190">
        <w:rPr>
          <w:rStyle w:val="FootnoteReference"/>
          <w:rFonts w:ascii="Times" w:hAnsi="Times"/>
          <w:sz w:val="20"/>
          <w:szCs w:val="20"/>
        </w:rPr>
        <w:footnoteRef/>
      </w:r>
      <w:r w:rsidRPr="008F5190">
        <w:rPr>
          <w:rFonts w:ascii="Times" w:hAnsi="Times"/>
          <w:sz w:val="20"/>
          <w:szCs w:val="20"/>
        </w:rPr>
        <w:t xml:space="preserve"> </w:t>
      </w:r>
      <w:r>
        <w:rPr>
          <w:rFonts w:ascii="Times" w:hAnsi="Times"/>
          <w:i/>
          <w:iCs/>
          <w:sz w:val="20"/>
          <w:szCs w:val="20"/>
        </w:rPr>
        <w:t>Id.</w:t>
      </w:r>
    </w:p>
  </w:footnote>
  <w:footnote w:id="32">
    <w:p w14:paraId="2E0661BA" w14:textId="441B6499" w:rsidR="001C57AF" w:rsidRDefault="001C57AF">
      <w:pPr>
        <w:pStyle w:val="FootnoteText"/>
      </w:pPr>
      <w:r>
        <w:rPr>
          <w:rStyle w:val="FootnoteReference"/>
        </w:rPr>
        <w:footnoteRef/>
      </w:r>
      <w:r>
        <w:t xml:space="preserve"> </w:t>
      </w:r>
      <w:proofErr w:type="spellStart"/>
      <w:r w:rsidR="009B008E">
        <w:t>Grofman</w:t>
      </w:r>
      <w:proofErr w:type="spellEnd"/>
      <w:r w:rsidR="009B008E">
        <w:t xml:space="preserve">, Bernard and </w:t>
      </w:r>
      <w:proofErr w:type="spellStart"/>
      <w:r w:rsidR="009B008E">
        <w:t>Trende</w:t>
      </w:r>
      <w:proofErr w:type="spellEnd"/>
      <w:r w:rsidR="009B008E">
        <w:t xml:space="preserve">, Sean. “Memorandum Re: VA Redistricting 2021 to the Chief Justice and Justices of the Supreme Court of Virginia” (2021), p. </w:t>
      </w:r>
      <w:r w:rsidR="009B008E">
        <w:t>17.</w:t>
      </w:r>
    </w:p>
  </w:footnote>
  <w:footnote w:id="33">
    <w:p w14:paraId="470621E4" w14:textId="04B54AD1" w:rsidR="00A24A55" w:rsidRDefault="00A24A55">
      <w:pPr>
        <w:pStyle w:val="FootnoteText"/>
      </w:pPr>
      <w:r>
        <w:rPr>
          <w:rStyle w:val="FootnoteReference"/>
        </w:rPr>
        <w:footnoteRef/>
      </w:r>
      <w:r>
        <w:t xml:space="preserve"> </w:t>
      </w:r>
      <w:r w:rsidRPr="00A24A55">
        <w:t xml:space="preserve">“Virginia's Demographic Regions.” </w:t>
      </w:r>
      <w:r w:rsidRPr="00A24A55">
        <w:rPr>
          <w:i/>
          <w:iCs/>
        </w:rPr>
        <w:t>Weldon Cooper Center for Public Service</w:t>
      </w:r>
      <w:r w:rsidRPr="00A24A55">
        <w:t>, https://demographics.coopercenter.org/virginia-regions.</w:t>
      </w:r>
    </w:p>
  </w:footnote>
  <w:footnote w:id="34">
    <w:p w14:paraId="339E28F9" w14:textId="72DE6EFE" w:rsidR="00F0490D" w:rsidRDefault="00F0490D">
      <w:pPr>
        <w:pStyle w:val="FootnoteText"/>
      </w:pPr>
      <w:r>
        <w:rPr>
          <w:rStyle w:val="FootnoteReference"/>
        </w:rPr>
        <w:footnoteRef/>
      </w:r>
      <w:r>
        <w:t xml:space="preserve"> </w:t>
      </w:r>
      <w:proofErr w:type="spellStart"/>
      <w:r w:rsidR="009B008E">
        <w:t>Grofman</w:t>
      </w:r>
      <w:proofErr w:type="spellEnd"/>
      <w:r w:rsidR="009B008E">
        <w:t xml:space="preserve">, Bernard and </w:t>
      </w:r>
      <w:proofErr w:type="spellStart"/>
      <w:r w:rsidR="009B008E">
        <w:t>Trende</w:t>
      </w:r>
      <w:proofErr w:type="spellEnd"/>
      <w:r w:rsidR="009B008E">
        <w:t xml:space="preserve">, Sean. “Memorandum Re: VA Redistricting 2021 to the Chief Justice and Justices of the Supreme Court of Virginia” (2021), p. </w:t>
      </w:r>
      <w:r w:rsidR="009B008E">
        <w:t>15.</w:t>
      </w:r>
    </w:p>
  </w:footnote>
  <w:footnote w:id="35">
    <w:p w14:paraId="46D62FAB" w14:textId="7B1FB08E" w:rsidR="00D53D35" w:rsidRDefault="00D53D35" w:rsidP="00D53D35">
      <w:pPr>
        <w:pStyle w:val="FootnoteText"/>
      </w:pPr>
      <w:r>
        <w:rPr>
          <w:rStyle w:val="FootnoteReference"/>
        </w:rPr>
        <w:footnoteRef/>
      </w:r>
      <w:r>
        <w:t xml:space="preserve"> </w:t>
      </w:r>
      <w:r w:rsidR="00A24A55" w:rsidRPr="00A24A55">
        <w:t xml:space="preserve">“Virginia's Demographic Regions.” </w:t>
      </w:r>
      <w:r w:rsidR="00A24A55" w:rsidRPr="00A24A55">
        <w:rPr>
          <w:i/>
          <w:iCs/>
        </w:rPr>
        <w:t>Weldon Cooper Center for Public Service</w:t>
      </w:r>
      <w:r w:rsidR="00A24A55" w:rsidRPr="00A24A55">
        <w:t>,</w:t>
      </w:r>
      <w:r w:rsidR="00A24A55">
        <w:t xml:space="preserve"> </w:t>
      </w:r>
      <w:r w:rsidR="00A24A55" w:rsidRPr="00A24A55">
        <w:t>https://demographics.coopercenter.org/virginia-regions.</w:t>
      </w:r>
    </w:p>
  </w:footnote>
  <w:footnote w:id="36">
    <w:p w14:paraId="4EAB0D82" w14:textId="75F88F90" w:rsidR="006C0475" w:rsidRDefault="006C0475">
      <w:pPr>
        <w:pStyle w:val="FootnoteText"/>
      </w:pPr>
      <w:r>
        <w:rPr>
          <w:rStyle w:val="FootnoteReference"/>
        </w:rPr>
        <w:footnoteRef/>
      </w:r>
      <w:r>
        <w:t xml:space="preserve"> </w:t>
      </w:r>
      <w:proofErr w:type="spellStart"/>
      <w:r w:rsidR="00A24A55">
        <w:t>Grofman</w:t>
      </w:r>
      <w:proofErr w:type="spellEnd"/>
      <w:r w:rsidR="00A24A55">
        <w:t xml:space="preserve">, Bernard and </w:t>
      </w:r>
      <w:proofErr w:type="spellStart"/>
      <w:r w:rsidR="00A24A55">
        <w:t>Trende</w:t>
      </w:r>
      <w:proofErr w:type="spellEnd"/>
      <w:r w:rsidR="00A24A55">
        <w:t>, Sean. “Memorandum Re: VA Redistricting 2021 to the Chief Justice and Justices of the Supreme Court of Virginia” (2021), p. 15.</w:t>
      </w:r>
    </w:p>
  </w:footnote>
  <w:footnote w:id="37">
    <w:p w14:paraId="27331786" w14:textId="77777777" w:rsidR="000B212E" w:rsidRPr="00C4172D" w:rsidRDefault="000B212E" w:rsidP="000B212E">
      <w:pPr>
        <w:rPr>
          <w:sz w:val="20"/>
          <w:szCs w:val="20"/>
        </w:rPr>
      </w:pPr>
      <w:r w:rsidRPr="00C4172D">
        <w:rPr>
          <w:rStyle w:val="FootnoteReference"/>
          <w:sz w:val="20"/>
          <w:szCs w:val="20"/>
        </w:rPr>
        <w:footnoteRef/>
      </w:r>
      <w:r w:rsidRPr="00C4172D">
        <w:rPr>
          <w:sz w:val="20"/>
          <w:szCs w:val="20"/>
        </w:rPr>
        <w:t xml:space="preserve"> Va. Code Ann. § 24.2-304.04(5).</w:t>
      </w:r>
    </w:p>
  </w:footnote>
  <w:footnote w:id="38">
    <w:p w14:paraId="3A1DFBBA" w14:textId="259913B6" w:rsidR="005F4570" w:rsidRPr="005F4570" w:rsidRDefault="005F4570" w:rsidP="005F4570">
      <w:pPr>
        <w:rPr>
          <w:sz w:val="20"/>
          <w:szCs w:val="20"/>
        </w:rPr>
      </w:pPr>
      <w:r w:rsidRPr="005F4570">
        <w:rPr>
          <w:rStyle w:val="FootnoteReference"/>
          <w:sz w:val="20"/>
          <w:szCs w:val="20"/>
        </w:rPr>
        <w:footnoteRef/>
      </w:r>
      <w:r w:rsidRPr="005F4570">
        <w:rPr>
          <w:sz w:val="20"/>
          <w:szCs w:val="20"/>
        </w:rPr>
        <w:t xml:space="preserve"> </w:t>
      </w:r>
      <w:r w:rsidRPr="00A24A55">
        <w:rPr>
          <w:i/>
          <w:iCs/>
          <w:sz w:val="20"/>
          <w:szCs w:val="20"/>
        </w:rPr>
        <w:t>Bush v. Vera</w:t>
      </w:r>
      <w:r w:rsidRPr="005F4570">
        <w:rPr>
          <w:sz w:val="20"/>
          <w:szCs w:val="20"/>
        </w:rPr>
        <w:t>, 517 U.S. 7 952 (1996).</w:t>
      </w:r>
    </w:p>
  </w:footnote>
  <w:footnote w:id="39">
    <w:p w14:paraId="6E1A343D" w14:textId="361CD362" w:rsidR="000B212E" w:rsidRDefault="000B212E" w:rsidP="000B212E">
      <w:pPr>
        <w:pStyle w:val="FootnoteText"/>
      </w:pPr>
      <w:r>
        <w:rPr>
          <w:rStyle w:val="FootnoteReference"/>
        </w:rPr>
        <w:footnoteRef/>
      </w:r>
      <w:r>
        <w:t xml:space="preserve"> </w:t>
      </w:r>
      <w:proofErr w:type="spellStart"/>
      <w:r w:rsidR="00A24A55">
        <w:t>Grofman</w:t>
      </w:r>
      <w:proofErr w:type="spellEnd"/>
      <w:r w:rsidR="00A24A55">
        <w:t xml:space="preserve">, Bernard and </w:t>
      </w:r>
      <w:proofErr w:type="spellStart"/>
      <w:r w:rsidR="00A24A55">
        <w:t>Trende</w:t>
      </w:r>
      <w:proofErr w:type="spellEnd"/>
      <w:r w:rsidR="00A24A55">
        <w:t xml:space="preserve">, Sean. “Memorandum Re: VA Redistricting 2021 to the Chief Justice and Justices of the Supreme Court of Virginia” (2021), p. </w:t>
      </w:r>
      <w:r w:rsidR="00A24A55">
        <w:t>6.</w:t>
      </w:r>
    </w:p>
  </w:footnote>
  <w:footnote w:id="40">
    <w:p w14:paraId="001DB629" w14:textId="372AEFFD" w:rsidR="0053762D" w:rsidRDefault="0053762D">
      <w:pPr>
        <w:pStyle w:val="FootnoteText"/>
      </w:pPr>
      <w:r>
        <w:rPr>
          <w:rStyle w:val="FootnoteReference"/>
        </w:rPr>
        <w:footnoteRef/>
      </w:r>
      <w:r>
        <w:t xml:space="preserve"> </w:t>
      </w:r>
      <w:proofErr w:type="spellStart"/>
      <w:r w:rsidRPr="0053762D">
        <w:t>Yglesias</w:t>
      </w:r>
      <w:proofErr w:type="spellEnd"/>
      <w:r w:rsidRPr="0053762D">
        <w:t xml:space="preserve">, Matthew. “The Real Fix for Gerrymandering Is Proportional Representation.” </w:t>
      </w:r>
      <w:r w:rsidRPr="0053762D">
        <w:rPr>
          <w:i/>
          <w:iCs/>
        </w:rPr>
        <w:t>Vox</w:t>
      </w:r>
      <w:r w:rsidRPr="0053762D">
        <w:t>, 6 Nov. 2017.</w:t>
      </w:r>
    </w:p>
  </w:footnote>
  <w:footnote w:id="41">
    <w:p w14:paraId="5E9EAD97" w14:textId="177D32AE" w:rsidR="000A370D" w:rsidRDefault="000A370D" w:rsidP="000A370D">
      <w:pPr>
        <w:pStyle w:val="FootnoteText"/>
      </w:pPr>
      <w:r>
        <w:rPr>
          <w:rStyle w:val="FootnoteReference"/>
        </w:rPr>
        <w:footnoteRef/>
      </w:r>
      <w:r>
        <w:t xml:space="preserve"> </w:t>
      </w:r>
      <w:r w:rsidR="00210C38" w:rsidRPr="00A24A55">
        <w:t xml:space="preserve">“Virginia's Demographic Regions.” </w:t>
      </w:r>
      <w:r w:rsidR="00210C38" w:rsidRPr="00A24A55">
        <w:rPr>
          <w:i/>
          <w:iCs/>
        </w:rPr>
        <w:t>Weldon Cooper Center for Public Service</w:t>
      </w:r>
      <w:r w:rsidR="00210C38" w:rsidRPr="00A24A55">
        <w:t>,</w:t>
      </w:r>
      <w:r w:rsidR="00210C38">
        <w:t xml:space="preserve"> </w:t>
      </w:r>
      <w:r w:rsidR="00210C38" w:rsidRPr="00A24A55">
        <w:t>https://demographics.coopercenter.org/virginia-regions.</w:t>
      </w:r>
    </w:p>
  </w:footnote>
  <w:footnote w:id="42">
    <w:p w14:paraId="22C8B779" w14:textId="54C9565C" w:rsidR="00685D03" w:rsidRDefault="00685D03">
      <w:pPr>
        <w:pStyle w:val="FootnoteText"/>
      </w:pPr>
      <w:r>
        <w:rPr>
          <w:rStyle w:val="FootnoteReference"/>
        </w:rPr>
        <w:footnoteRef/>
      </w:r>
      <w:r>
        <w:t xml:space="preserve"> </w:t>
      </w:r>
      <w:r w:rsidR="00E80686">
        <w:rPr>
          <w:i/>
          <w:iCs/>
        </w:rPr>
        <w:t>Id.</w:t>
      </w:r>
    </w:p>
  </w:footnote>
  <w:footnote w:id="43">
    <w:p w14:paraId="6A0F44D7" w14:textId="509AE5A5" w:rsidR="00B24ACB" w:rsidRDefault="00B24ACB" w:rsidP="00B24ACB">
      <w:pPr>
        <w:pStyle w:val="FootnoteText"/>
      </w:pPr>
      <w:r>
        <w:rPr>
          <w:rStyle w:val="FootnoteReference"/>
        </w:rPr>
        <w:footnoteRef/>
      </w:r>
      <w:r>
        <w:t xml:space="preserve"> </w:t>
      </w:r>
      <w:r w:rsidR="00055FCB" w:rsidRPr="00A24A55">
        <w:t xml:space="preserve">“Virginia's Demographic Regions.” </w:t>
      </w:r>
      <w:r w:rsidR="00055FCB" w:rsidRPr="00A24A55">
        <w:rPr>
          <w:i/>
          <w:iCs/>
        </w:rPr>
        <w:t>Weldon Cooper Center for Public Service</w:t>
      </w:r>
      <w:r w:rsidR="00055FCB" w:rsidRPr="00A24A55">
        <w:t>,</w:t>
      </w:r>
      <w:r w:rsidR="00055FCB">
        <w:t xml:space="preserve"> </w:t>
      </w:r>
      <w:r w:rsidR="00055FCB" w:rsidRPr="00A24A55">
        <w:t>https://demographics.coopercenter.org/virginia-regions.</w:t>
      </w:r>
    </w:p>
  </w:footnote>
  <w:footnote w:id="44">
    <w:p w14:paraId="32B925AB" w14:textId="618B4445" w:rsidR="009C71D6" w:rsidRDefault="009C71D6">
      <w:pPr>
        <w:pStyle w:val="FootnoteText"/>
      </w:pPr>
      <w:r>
        <w:rPr>
          <w:rStyle w:val="FootnoteReference"/>
        </w:rPr>
        <w:footnoteRef/>
      </w:r>
      <w:r>
        <w:t xml:space="preserve"> </w:t>
      </w:r>
      <w:r w:rsidRPr="009C71D6">
        <w:t xml:space="preserve">“About the Appalachian Region.” </w:t>
      </w:r>
      <w:r w:rsidRPr="009C71D6">
        <w:rPr>
          <w:i/>
          <w:iCs/>
        </w:rPr>
        <w:t>Appalachian Regional Commission</w:t>
      </w:r>
      <w:r w:rsidRPr="009C71D6">
        <w:t>, 19 Nov. 2021, https://www.arc.gov/about-the-appalachian-region/.</w:t>
      </w:r>
    </w:p>
  </w:footnote>
  <w:footnote w:id="45">
    <w:p w14:paraId="7832F5B9" w14:textId="4683F785" w:rsidR="0040198C" w:rsidRPr="009C71D6" w:rsidRDefault="004A406F">
      <w:pPr>
        <w:pStyle w:val="FootnoteText"/>
      </w:pPr>
      <w:r>
        <w:rPr>
          <w:rStyle w:val="FootnoteReference"/>
        </w:rPr>
        <w:footnoteRef/>
      </w:r>
      <w:r w:rsidR="009C71D6">
        <w:t xml:space="preserve"> </w:t>
      </w:r>
      <w:proofErr w:type="spellStart"/>
      <w:r w:rsidR="009C71D6">
        <w:t>Grofman</w:t>
      </w:r>
      <w:proofErr w:type="spellEnd"/>
      <w:r w:rsidR="009C71D6">
        <w:t xml:space="preserve">, Bernard and </w:t>
      </w:r>
      <w:proofErr w:type="spellStart"/>
      <w:r w:rsidR="009C71D6">
        <w:t>Trende</w:t>
      </w:r>
      <w:proofErr w:type="spellEnd"/>
      <w:r w:rsidR="009C71D6">
        <w:t>, Sean. “Memorandum Re: VA Redistricting 2021 to the Chief Justice and Justices of the Supreme Court of Virginia” (2021)</w:t>
      </w:r>
      <w:r w:rsidR="009C71D6">
        <w:t xml:space="preserve"> quoting </w:t>
      </w:r>
      <w:r>
        <w:t xml:space="preserve">Kenneth C. </w:t>
      </w:r>
      <w:proofErr w:type="spellStart"/>
      <w:r>
        <w:t>Martis</w:t>
      </w:r>
      <w:proofErr w:type="spellEnd"/>
      <w:r>
        <w:t xml:space="preserve">, </w:t>
      </w:r>
      <w:r w:rsidRPr="009C71D6">
        <w:rPr>
          <w:i/>
          <w:iCs/>
        </w:rPr>
        <w:t>The Historical Atlas of United States Congressional Districts:1789-1983</w:t>
      </w:r>
      <w:r>
        <w:t xml:space="preserve"> (1982)</w:t>
      </w:r>
      <w:r w:rsidR="009C71D6">
        <w:t>.</w:t>
      </w:r>
    </w:p>
  </w:footnote>
  <w:footnote w:id="46">
    <w:p w14:paraId="1DED789E" w14:textId="58CAA23A" w:rsidR="00E80686" w:rsidRDefault="00E80686" w:rsidP="00E80686">
      <w:pPr>
        <w:pStyle w:val="FootnoteText"/>
      </w:pPr>
      <w:r>
        <w:rPr>
          <w:rStyle w:val="FootnoteReference"/>
        </w:rPr>
        <w:footnoteRef/>
      </w:r>
      <w:r>
        <w:t xml:space="preserve"> </w:t>
      </w:r>
      <w:r w:rsidR="00A13A17" w:rsidRPr="00A24A55">
        <w:t xml:space="preserve">“Virginia's Demographic Regions.” </w:t>
      </w:r>
      <w:r w:rsidR="00A13A17" w:rsidRPr="00A24A55">
        <w:rPr>
          <w:i/>
          <w:iCs/>
        </w:rPr>
        <w:t>Weldon Cooper Center for Public Service</w:t>
      </w:r>
      <w:r w:rsidR="00A13A17" w:rsidRPr="00A24A55">
        <w:t>,</w:t>
      </w:r>
      <w:r w:rsidR="00A13A17">
        <w:t xml:space="preserve"> </w:t>
      </w:r>
      <w:r w:rsidR="00A13A17" w:rsidRPr="00A24A55">
        <w:t>https://demographics.coopercenter.org/virginia-regions.</w:t>
      </w:r>
    </w:p>
  </w:footnote>
  <w:footnote w:id="47">
    <w:p w14:paraId="64A01356" w14:textId="2FEF3B8D" w:rsidR="00D93883" w:rsidRPr="00EC53D4" w:rsidRDefault="00D93883" w:rsidP="00EC53D4">
      <w:pPr>
        <w:pStyle w:val="NormalWeb"/>
        <w:ind w:left="567" w:hanging="567"/>
        <w:rPr>
          <w:sz w:val="20"/>
          <w:szCs w:val="20"/>
        </w:rPr>
      </w:pPr>
      <w:r w:rsidRPr="00EC53D4">
        <w:rPr>
          <w:rStyle w:val="FootnoteReference"/>
          <w:sz w:val="20"/>
          <w:szCs w:val="20"/>
        </w:rPr>
        <w:footnoteRef/>
      </w:r>
      <w:r w:rsidRPr="00EC53D4">
        <w:rPr>
          <w:sz w:val="20"/>
          <w:szCs w:val="20"/>
        </w:rPr>
        <w:t xml:space="preserve"> </w:t>
      </w:r>
      <w:r w:rsidR="00EC53D4" w:rsidRPr="00EC53D4">
        <w:rPr>
          <w:sz w:val="20"/>
          <w:szCs w:val="20"/>
        </w:rPr>
        <w:t xml:space="preserve">“PVI Map and District List.” </w:t>
      </w:r>
      <w:r w:rsidR="00EC53D4" w:rsidRPr="00EC53D4">
        <w:rPr>
          <w:i/>
          <w:iCs/>
          <w:sz w:val="20"/>
          <w:szCs w:val="20"/>
        </w:rPr>
        <w:t>Cook Political Report</w:t>
      </w:r>
      <w:r w:rsidR="00EC53D4" w:rsidRPr="00EC53D4">
        <w:rPr>
          <w:sz w:val="20"/>
          <w:szCs w:val="20"/>
        </w:rPr>
        <w:t xml:space="preserve">, https://www.cookpolitical.com/pvi-map-and-district-list. </w:t>
      </w:r>
    </w:p>
  </w:footnote>
  <w:footnote w:id="48">
    <w:p w14:paraId="5D9D5A50" w14:textId="3C5C80B1" w:rsidR="00734D3A" w:rsidRDefault="00734D3A">
      <w:pPr>
        <w:pStyle w:val="FootnoteText"/>
      </w:pPr>
      <w:r>
        <w:rPr>
          <w:rStyle w:val="FootnoteReference"/>
        </w:rPr>
        <w:footnoteRef/>
      </w:r>
      <w:r>
        <w:t xml:space="preserve"> </w:t>
      </w:r>
      <w:proofErr w:type="spellStart"/>
      <w:r w:rsidR="00EC53D4">
        <w:t>Grofman</w:t>
      </w:r>
      <w:proofErr w:type="spellEnd"/>
      <w:r w:rsidR="00EC53D4">
        <w:t xml:space="preserve">, Bernard and </w:t>
      </w:r>
      <w:proofErr w:type="spellStart"/>
      <w:r w:rsidR="00EC53D4">
        <w:t>Trende</w:t>
      </w:r>
      <w:proofErr w:type="spellEnd"/>
      <w:r w:rsidR="00EC53D4">
        <w:t>, Sean. “Memorandum Re: VA Redistricting 2021 to the Chief Justice and Justices of the Supreme Court of Virginia” (2021)</w:t>
      </w:r>
      <w:r w:rsidR="00EC53D4">
        <w:t>, p. 19.</w:t>
      </w:r>
    </w:p>
  </w:footnote>
  <w:footnote w:id="49">
    <w:p w14:paraId="15F15569" w14:textId="46AC0284" w:rsidR="00270193" w:rsidRPr="00270193" w:rsidRDefault="00270193">
      <w:pPr>
        <w:pStyle w:val="FootnoteText"/>
      </w:pPr>
      <w:r>
        <w:rPr>
          <w:rStyle w:val="FootnoteReference"/>
        </w:rPr>
        <w:footnoteRef/>
      </w:r>
      <w:r>
        <w:t xml:space="preserve"> </w:t>
      </w:r>
      <w:r>
        <w:rPr>
          <w:i/>
          <w:iCs/>
        </w:rPr>
        <w:t xml:space="preserve">See </w:t>
      </w:r>
      <w:r w:rsidRPr="002E5FE9">
        <w:t>https://alarm-redist.github.io/about.html</w:t>
      </w:r>
      <w:r>
        <w:rPr>
          <w:i/>
          <w:iCs/>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543AB8"/>
    <w:multiLevelType w:val="hybridMultilevel"/>
    <w:tmpl w:val="C3CAC0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AA2286"/>
    <w:multiLevelType w:val="hybridMultilevel"/>
    <w:tmpl w:val="31EA494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 w15:restartNumberingAfterBreak="0">
    <w:nsid w:val="1CBB6C43"/>
    <w:multiLevelType w:val="hybridMultilevel"/>
    <w:tmpl w:val="10B2DE2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 w15:restartNumberingAfterBreak="0">
    <w:nsid w:val="1DE04484"/>
    <w:multiLevelType w:val="multilevel"/>
    <w:tmpl w:val="7ADCCBE6"/>
    <w:lvl w:ilvl="0">
      <w:start w:val="4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F380F7E"/>
    <w:multiLevelType w:val="hybridMultilevel"/>
    <w:tmpl w:val="FB06DB94"/>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 w15:restartNumberingAfterBreak="0">
    <w:nsid w:val="4F6D613B"/>
    <w:multiLevelType w:val="hybridMultilevel"/>
    <w:tmpl w:val="B276D56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6" w15:restartNumberingAfterBreak="0">
    <w:nsid w:val="5797099A"/>
    <w:multiLevelType w:val="hybridMultilevel"/>
    <w:tmpl w:val="75E8D07A"/>
    <w:lvl w:ilvl="0" w:tplc="FBB4D20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11825BE"/>
    <w:multiLevelType w:val="hybridMultilevel"/>
    <w:tmpl w:val="7D8AB1C0"/>
    <w:lvl w:ilvl="0" w:tplc="65025230">
      <w:start w:val="1"/>
      <w:numFmt w:val="upperRoman"/>
      <w:lvlText w:val="%1."/>
      <w:lvlJc w:val="left"/>
      <w:pPr>
        <w:ind w:left="1800" w:hanging="720"/>
      </w:pPr>
      <w:rPr>
        <w:rFonts w:hint="default"/>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711B6AF0"/>
    <w:multiLevelType w:val="hybridMultilevel"/>
    <w:tmpl w:val="0D1E8DC6"/>
    <w:lvl w:ilvl="0" w:tplc="8A66E934">
      <w:start w:val="1"/>
      <w:numFmt w:val="upperLetter"/>
      <w:lvlText w:val="%1."/>
      <w:lvlJc w:val="left"/>
      <w:pPr>
        <w:ind w:left="720" w:hanging="360"/>
      </w:pPr>
      <w:rPr>
        <w:rFonts w:ascii="TimesNewRomanPSMT" w:hAnsi="TimesNewRomanPSMT"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3DB725D"/>
    <w:multiLevelType w:val="multilevel"/>
    <w:tmpl w:val="6374B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7D57EF2"/>
    <w:multiLevelType w:val="hybridMultilevel"/>
    <w:tmpl w:val="A412E50E"/>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1" w15:restartNumberingAfterBreak="0">
    <w:nsid w:val="7C1D2EA8"/>
    <w:multiLevelType w:val="hybridMultilevel"/>
    <w:tmpl w:val="7D8AB1C0"/>
    <w:lvl w:ilvl="0" w:tplc="FFFFFFFF">
      <w:start w:val="1"/>
      <w:numFmt w:val="upperRoman"/>
      <w:lvlText w:val="%1."/>
      <w:lvlJc w:val="left"/>
      <w:pPr>
        <w:ind w:left="1800" w:hanging="720"/>
      </w:pPr>
      <w:rPr>
        <w:rFonts w:hint="default"/>
        <w:b/>
      </w:r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num w:numId="1">
    <w:abstractNumId w:val="6"/>
  </w:num>
  <w:num w:numId="2">
    <w:abstractNumId w:val="7"/>
  </w:num>
  <w:num w:numId="3">
    <w:abstractNumId w:val="11"/>
  </w:num>
  <w:num w:numId="4">
    <w:abstractNumId w:val="1"/>
  </w:num>
  <w:num w:numId="5">
    <w:abstractNumId w:val="5"/>
  </w:num>
  <w:num w:numId="6">
    <w:abstractNumId w:val="10"/>
  </w:num>
  <w:num w:numId="7">
    <w:abstractNumId w:val="2"/>
  </w:num>
  <w:num w:numId="8">
    <w:abstractNumId w:val="0"/>
  </w:num>
  <w:num w:numId="9">
    <w:abstractNumId w:val="3"/>
  </w:num>
  <w:num w:numId="10">
    <w:abstractNumId w:val="4"/>
  </w:num>
  <w:num w:numId="11">
    <w:abstractNumId w:val="8"/>
  </w:num>
  <w:num w:numId="12">
    <w:abstractNumId w:val="9"/>
    <w:lvlOverride w:ilvl="0">
      <w:lvl w:ilvl="0">
        <w:numFmt w:val="bullet"/>
        <w:lvlText w:val="o"/>
        <w:lvlJc w:val="left"/>
        <w:pPr>
          <w:tabs>
            <w:tab w:val="num" w:pos="720"/>
          </w:tabs>
          <w:ind w:left="720" w:hanging="360"/>
        </w:pPr>
        <w:rPr>
          <w:rFonts w:ascii="Courier New" w:hAnsi="Courier New" w:hint="default"/>
          <w:sz w:val="2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272D"/>
    <w:rsid w:val="00000566"/>
    <w:rsid w:val="00001AF7"/>
    <w:rsid w:val="00002489"/>
    <w:rsid w:val="000103EB"/>
    <w:rsid w:val="00013C33"/>
    <w:rsid w:val="000200EE"/>
    <w:rsid w:val="00022BD5"/>
    <w:rsid w:val="00022D87"/>
    <w:rsid w:val="00024B73"/>
    <w:rsid w:val="00032E25"/>
    <w:rsid w:val="00034F54"/>
    <w:rsid w:val="000364D5"/>
    <w:rsid w:val="000367BD"/>
    <w:rsid w:val="00044CD9"/>
    <w:rsid w:val="0004704A"/>
    <w:rsid w:val="00053701"/>
    <w:rsid w:val="000550A5"/>
    <w:rsid w:val="00055FCB"/>
    <w:rsid w:val="00063852"/>
    <w:rsid w:val="0006694E"/>
    <w:rsid w:val="000677F8"/>
    <w:rsid w:val="0007041A"/>
    <w:rsid w:val="00090EA7"/>
    <w:rsid w:val="000929D3"/>
    <w:rsid w:val="000A0662"/>
    <w:rsid w:val="000A344A"/>
    <w:rsid w:val="000A370D"/>
    <w:rsid w:val="000A4326"/>
    <w:rsid w:val="000A6235"/>
    <w:rsid w:val="000B212E"/>
    <w:rsid w:val="000B3F47"/>
    <w:rsid w:val="000B4F50"/>
    <w:rsid w:val="000C1EBA"/>
    <w:rsid w:val="000C25B3"/>
    <w:rsid w:val="000C2F83"/>
    <w:rsid w:val="000C3A39"/>
    <w:rsid w:val="000C3D94"/>
    <w:rsid w:val="000D0AD5"/>
    <w:rsid w:val="000E1108"/>
    <w:rsid w:val="000E33D2"/>
    <w:rsid w:val="000E4784"/>
    <w:rsid w:val="000F3752"/>
    <w:rsid w:val="000F41E7"/>
    <w:rsid w:val="00101923"/>
    <w:rsid w:val="00101A0F"/>
    <w:rsid w:val="001025EE"/>
    <w:rsid w:val="00103820"/>
    <w:rsid w:val="0011014F"/>
    <w:rsid w:val="00110C3E"/>
    <w:rsid w:val="00110F7F"/>
    <w:rsid w:val="00110F8A"/>
    <w:rsid w:val="001117DD"/>
    <w:rsid w:val="001166E4"/>
    <w:rsid w:val="00122B36"/>
    <w:rsid w:val="001230CA"/>
    <w:rsid w:val="00124908"/>
    <w:rsid w:val="001276B0"/>
    <w:rsid w:val="00127F5F"/>
    <w:rsid w:val="0013326E"/>
    <w:rsid w:val="0013346B"/>
    <w:rsid w:val="00136C5D"/>
    <w:rsid w:val="00136E21"/>
    <w:rsid w:val="00143BC2"/>
    <w:rsid w:val="0014402E"/>
    <w:rsid w:val="00146441"/>
    <w:rsid w:val="00146F61"/>
    <w:rsid w:val="00147733"/>
    <w:rsid w:val="0014780D"/>
    <w:rsid w:val="00156631"/>
    <w:rsid w:val="00156823"/>
    <w:rsid w:val="00157ADC"/>
    <w:rsid w:val="00163102"/>
    <w:rsid w:val="001664C3"/>
    <w:rsid w:val="00172154"/>
    <w:rsid w:val="00172C1E"/>
    <w:rsid w:val="0017441D"/>
    <w:rsid w:val="00184CEB"/>
    <w:rsid w:val="00186725"/>
    <w:rsid w:val="00190458"/>
    <w:rsid w:val="001A037B"/>
    <w:rsid w:val="001A2C08"/>
    <w:rsid w:val="001A3A11"/>
    <w:rsid w:val="001A65E6"/>
    <w:rsid w:val="001A7D1B"/>
    <w:rsid w:val="001B150F"/>
    <w:rsid w:val="001B217C"/>
    <w:rsid w:val="001B4457"/>
    <w:rsid w:val="001B52E3"/>
    <w:rsid w:val="001B589D"/>
    <w:rsid w:val="001C0E4B"/>
    <w:rsid w:val="001C4AFA"/>
    <w:rsid w:val="001C4CA6"/>
    <w:rsid w:val="001C57AF"/>
    <w:rsid w:val="001D7DC0"/>
    <w:rsid w:val="001E1AB9"/>
    <w:rsid w:val="001E4700"/>
    <w:rsid w:val="001E614B"/>
    <w:rsid w:val="001E66A3"/>
    <w:rsid w:val="001E79D6"/>
    <w:rsid w:val="001F0402"/>
    <w:rsid w:val="001F2B98"/>
    <w:rsid w:val="001F4C07"/>
    <w:rsid w:val="001F54F9"/>
    <w:rsid w:val="001F6776"/>
    <w:rsid w:val="001F7FDF"/>
    <w:rsid w:val="00201C3C"/>
    <w:rsid w:val="00202E47"/>
    <w:rsid w:val="00203D6D"/>
    <w:rsid w:val="00203EC1"/>
    <w:rsid w:val="002042F5"/>
    <w:rsid w:val="00207D5E"/>
    <w:rsid w:val="00207F4A"/>
    <w:rsid w:val="0021040A"/>
    <w:rsid w:val="00210C38"/>
    <w:rsid w:val="0021318B"/>
    <w:rsid w:val="00214DFB"/>
    <w:rsid w:val="00215D5F"/>
    <w:rsid w:val="00216DC3"/>
    <w:rsid w:val="00217F78"/>
    <w:rsid w:val="00222092"/>
    <w:rsid w:val="0022708F"/>
    <w:rsid w:val="00233769"/>
    <w:rsid w:val="002416C2"/>
    <w:rsid w:val="00250D73"/>
    <w:rsid w:val="00250E69"/>
    <w:rsid w:val="00250FFA"/>
    <w:rsid w:val="00253865"/>
    <w:rsid w:val="00253A4D"/>
    <w:rsid w:val="00260BAB"/>
    <w:rsid w:val="00265792"/>
    <w:rsid w:val="002660FC"/>
    <w:rsid w:val="00270193"/>
    <w:rsid w:val="002775BC"/>
    <w:rsid w:val="00283387"/>
    <w:rsid w:val="0028458A"/>
    <w:rsid w:val="002856F3"/>
    <w:rsid w:val="00286B1A"/>
    <w:rsid w:val="00287B78"/>
    <w:rsid w:val="00292E24"/>
    <w:rsid w:val="002937AD"/>
    <w:rsid w:val="002A7581"/>
    <w:rsid w:val="002B70F2"/>
    <w:rsid w:val="002C1617"/>
    <w:rsid w:val="002C25CF"/>
    <w:rsid w:val="002D2A72"/>
    <w:rsid w:val="002E2F95"/>
    <w:rsid w:val="002E5FE9"/>
    <w:rsid w:val="002E6837"/>
    <w:rsid w:val="002E6CDD"/>
    <w:rsid w:val="002E7808"/>
    <w:rsid w:val="002F3BEB"/>
    <w:rsid w:val="002F4F5F"/>
    <w:rsid w:val="002F61ED"/>
    <w:rsid w:val="00300299"/>
    <w:rsid w:val="00316FAA"/>
    <w:rsid w:val="00320875"/>
    <w:rsid w:val="00321B4E"/>
    <w:rsid w:val="00326C1E"/>
    <w:rsid w:val="0033042D"/>
    <w:rsid w:val="00333309"/>
    <w:rsid w:val="0033662A"/>
    <w:rsid w:val="00336F15"/>
    <w:rsid w:val="00341911"/>
    <w:rsid w:val="00341AC3"/>
    <w:rsid w:val="00343148"/>
    <w:rsid w:val="00344D4D"/>
    <w:rsid w:val="00345DAC"/>
    <w:rsid w:val="00346214"/>
    <w:rsid w:val="00351970"/>
    <w:rsid w:val="00352BC1"/>
    <w:rsid w:val="00355C34"/>
    <w:rsid w:val="003609B5"/>
    <w:rsid w:val="00360ADB"/>
    <w:rsid w:val="00364586"/>
    <w:rsid w:val="003658BA"/>
    <w:rsid w:val="003674E1"/>
    <w:rsid w:val="00396068"/>
    <w:rsid w:val="003A2EAB"/>
    <w:rsid w:val="003A5D17"/>
    <w:rsid w:val="003B297F"/>
    <w:rsid w:val="003B4F89"/>
    <w:rsid w:val="003B699F"/>
    <w:rsid w:val="003C0A45"/>
    <w:rsid w:val="003C4989"/>
    <w:rsid w:val="003C4A6A"/>
    <w:rsid w:val="003D0162"/>
    <w:rsid w:val="003D2E87"/>
    <w:rsid w:val="003D2EBB"/>
    <w:rsid w:val="003D643B"/>
    <w:rsid w:val="003E0B85"/>
    <w:rsid w:val="003E1836"/>
    <w:rsid w:val="003E6ABE"/>
    <w:rsid w:val="003E6EE6"/>
    <w:rsid w:val="003F045D"/>
    <w:rsid w:val="003F489A"/>
    <w:rsid w:val="003F4FCC"/>
    <w:rsid w:val="003F7B52"/>
    <w:rsid w:val="0040198C"/>
    <w:rsid w:val="004043CD"/>
    <w:rsid w:val="00404F22"/>
    <w:rsid w:val="00412ABB"/>
    <w:rsid w:val="00420875"/>
    <w:rsid w:val="00422A12"/>
    <w:rsid w:val="00423D71"/>
    <w:rsid w:val="004266EC"/>
    <w:rsid w:val="00431BEB"/>
    <w:rsid w:val="00435C9C"/>
    <w:rsid w:val="00436468"/>
    <w:rsid w:val="00437774"/>
    <w:rsid w:val="00440C54"/>
    <w:rsid w:val="00441CC8"/>
    <w:rsid w:val="00443607"/>
    <w:rsid w:val="00446E25"/>
    <w:rsid w:val="004503BF"/>
    <w:rsid w:val="00453417"/>
    <w:rsid w:val="004551F9"/>
    <w:rsid w:val="00455BEA"/>
    <w:rsid w:val="00456834"/>
    <w:rsid w:val="00463460"/>
    <w:rsid w:val="00463841"/>
    <w:rsid w:val="004767AB"/>
    <w:rsid w:val="004952FE"/>
    <w:rsid w:val="0049537E"/>
    <w:rsid w:val="004A005B"/>
    <w:rsid w:val="004A406F"/>
    <w:rsid w:val="004A5395"/>
    <w:rsid w:val="004A6EB4"/>
    <w:rsid w:val="004B1BA4"/>
    <w:rsid w:val="004C022A"/>
    <w:rsid w:val="004C257C"/>
    <w:rsid w:val="004C2606"/>
    <w:rsid w:val="004C2889"/>
    <w:rsid w:val="004C38EF"/>
    <w:rsid w:val="004C7ACD"/>
    <w:rsid w:val="004C7C58"/>
    <w:rsid w:val="004E2957"/>
    <w:rsid w:val="004F0D84"/>
    <w:rsid w:val="004F5232"/>
    <w:rsid w:val="004F5E9B"/>
    <w:rsid w:val="00501289"/>
    <w:rsid w:val="0051201C"/>
    <w:rsid w:val="005135C0"/>
    <w:rsid w:val="00513CD2"/>
    <w:rsid w:val="0051612E"/>
    <w:rsid w:val="00517913"/>
    <w:rsid w:val="00526423"/>
    <w:rsid w:val="00527915"/>
    <w:rsid w:val="005371BC"/>
    <w:rsid w:val="0053762D"/>
    <w:rsid w:val="00540BD7"/>
    <w:rsid w:val="00540E1B"/>
    <w:rsid w:val="00541C09"/>
    <w:rsid w:val="00541DAB"/>
    <w:rsid w:val="00545457"/>
    <w:rsid w:val="005501AE"/>
    <w:rsid w:val="0055428B"/>
    <w:rsid w:val="0055652B"/>
    <w:rsid w:val="00562354"/>
    <w:rsid w:val="00562F7C"/>
    <w:rsid w:val="00570EDE"/>
    <w:rsid w:val="00575196"/>
    <w:rsid w:val="00583FCE"/>
    <w:rsid w:val="00590659"/>
    <w:rsid w:val="005A17FD"/>
    <w:rsid w:val="005A77C9"/>
    <w:rsid w:val="005B06C3"/>
    <w:rsid w:val="005B1878"/>
    <w:rsid w:val="005B32C9"/>
    <w:rsid w:val="005B4CB5"/>
    <w:rsid w:val="005B597D"/>
    <w:rsid w:val="005C0C44"/>
    <w:rsid w:val="005C439D"/>
    <w:rsid w:val="005C4BA3"/>
    <w:rsid w:val="005D05CF"/>
    <w:rsid w:val="005D3BE4"/>
    <w:rsid w:val="005D6911"/>
    <w:rsid w:val="005E2DB1"/>
    <w:rsid w:val="005E4D6B"/>
    <w:rsid w:val="005E6AE4"/>
    <w:rsid w:val="005E7D4C"/>
    <w:rsid w:val="005F3654"/>
    <w:rsid w:val="005F3BE2"/>
    <w:rsid w:val="005F4570"/>
    <w:rsid w:val="005F5C4A"/>
    <w:rsid w:val="00601C79"/>
    <w:rsid w:val="00603EC8"/>
    <w:rsid w:val="0060429B"/>
    <w:rsid w:val="00604D6F"/>
    <w:rsid w:val="0060719C"/>
    <w:rsid w:val="00610BA1"/>
    <w:rsid w:val="006137CE"/>
    <w:rsid w:val="00614A2F"/>
    <w:rsid w:val="006231F4"/>
    <w:rsid w:val="00625136"/>
    <w:rsid w:val="00625B45"/>
    <w:rsid w:val="00631114"/>
    <w:rsid w:val="00632883"/>
    <w:rsid w:val="00635376"/>
    <w:rsid w:val="00637456"/>
    <w:rsid w:val="00651224"/>
    <w:rsid w:val="006620A1"/>
    <w:rsid w:val="00662766"/>
    <w:rsid w:val="00662F79"/>
    <w:rsid w:val="00664FD0"/>
    <w:rsid w:val="00664FEA"/>
    <w:rsid w:val="00671CD9"/>
    <w:rsid w:val="0067329B"/>
    <w:rsid w:val="006762EF"/>
    <w:rsid w:val="00676C47"/>
    <w:rsid w:val="00685356"/>
    <w:rsid w:val="00685D03"/>
    <w:rsid w:val="006906B0"/>
    <w:rsid w:val="006912B2"/>
    <w:rsid w:val="00695264"/>
    <w:rsid w:val="00697D78"/>
    <w:rsid w:val="006A4CDE"/>
    <w:rsid w:val="006A5A68"/>
    <w:rsid w:val="006B136D"/>
    <w:rsid w:val="006B240E"/>
    <w:rsid w:val="006B4D32"/>
    <w:rsid w:val="006B4F2C"/>
    <w:rsid w:val="006C0475"/>
    <w:rsid w:val="006C430A"/>
    <w:rsid w:val="006D19D0"/>
    <w:rsid w:val="006D3368"/>
    <w:rsid w:val="006D3632"/>
    <w:rsid w:val="006D523E"/>
    <w:rsid w:val="006D55DF"/>
    <w:rsid w:val="006D6568"/>
    <w:rsid w:val="006D7380"/>
    <w:rsid w:val="006D73A6"/>
    <w:rsid w:val="006E3713"/>
    <w:rsid w:val="006E6E5D"/>
    <w:rsid w:val="006F1088"/>
    <w:rsid w:val="006F3E55"/>
    <w:rsid w:val="006F7375"/>
    <w:rsid w:val="006F7F16"/>
    <w:rsid w:val="007004DE"/>
    <w:rsid w:val="00703622"/>
    <w:rsid w:val="00705E83"/>
    <w:rsid w:val="00711C9D"/>
    <w:rsid w:val="00713E6C"/>
    <w:rsid w:val="007144D0"/>
    <w:rsid w:val="007169FF"/>
    <w:rsid w:val="00720ECD"/>
    <w:rsid w:val="007272B4"/>
    <w:rsid w:val="0073310C"/>
    <w:rsid w:val="00734658"/>
    <w:rsid w:val="00734B83"/>
    <w:rsid w:val="00734D3A"/>
    <w:rsid w:val="00734F56"/>
    <w:rsid w:val="00735708"/>
    <w:rsid w:val="00736032"/>
    <w:rsid w:val="0073734D"/>
    <w:rsid w:val="0074272D"/>
    <w:rsid w:val="00745502"/>
    <w:rsid w:val="0074657B"/>
    <w:rsid w:val="007521EB"/>
    <w:rsid w:val="00753B99"/>
    <w:rsid w:val="007567B6"/>
    <w:rsid w:val="00757D9B"/>
    <w:rsid w:val="00763AD3"/>
    <w:rsid w:val="00766327"/>
    <w:rsid w:val="00766356"/>
    <w:rsid w:val="007703D6"/>
    <w:rsid w:val="00772716"/>
    <w:rsid w:val="00773DBF"/>
    <w:rsid w:val="00775A8F"/>
    <w:rsid w:val="00775E6B"/>
    <w:rsid w:val="00776715"/>
    <w:rsid w:val="00784A5B"/>
    <w:rsid w:val="00786F63"/>
    <w:rsid w:val="00787B7D"/>
    <w:rsid w:val="00794F8A"/>
    <w:rsid w:val="007A0FC3"/>
    <w:rsid w:val="007A1CD7"/>
    <w:rsid w:val="007A780F"/>
    <w:rsid w:val="007B6DF8"/>
    <w:rsid w:val="007D63CF"/>
    <w:rsid w:val="007E0E5F"/>
    <w:rsid w:val="007E1FEF"/>
    <w:rsid w:val="007E25EE"/>
    <w:rsid w:val="007E3991"/>
    <w:rsid w:val="007F3028"/>
    <w:rsid w:val="007F4087"/>
    <w:rsid w:val="007F77A3"/>
    <w:rsid w:val="00801408"/>
    <w:rsid w:val="00802354"/>
    <w:rsid w:val="00805AC0"/>
    <w:rsid w:val="00807B17"/>
    <w:rsid w:val="00817A0B"/>
    <w:rsid w:val="0082383E"/>
    <w:rsid w:val="00823CA4"/>
    <w:rsid w:val="00830ECA"/>
    <w:rsid w:val="00832050"/>
    <w:rsid w:val="0083291A"/>
    <w:rsid w:val="00835926"/>
    <w:rsid w:val="00836F6C"/>
    <w:rsid w:val="00837829"/>
    <w:rsid w:val="00843463"/>
    <w:rsid w:val="00850C54"/>
    <w:rsid w:val="00850D97"/>
    <w:rsid w:val="008519A9"/>
    <w:rsid w:val="00852525"/>
    <w:rsid w:val="008626A0"/>
    <w:rsid w:val="0086295F"/>
    <w:rsid w:val="008639BF"/>
    <w:rsid w:val="00863B4A"/>
    <w:rsid w:val="0086719E"/>
    <w:rsid w:val="008701AF"/>
    <w:rsid w:val="0087034D"/>
    <w:rsid w:val="0087094A"/>
    <w:rsid w:val="008744F7"/>
    <w:rsid w:val="00874F0F"/>
    <w:rsid w:val="00874FE9"/>
    <w:rsid w:val="0087598A"/>
    <w:rsid w:val="00876461"/>
    <w:rsid w:val="00877408"/>
    <w:rsid w:val="00880319"/>
    <w:rsid w:val="00883C01"/>
    <w:rsid w:val="00890ABD"/>
    <w:rsid w:val="0089452A"/>
    <w:rsid w:val="0089578C"/>
    <w:rsid w:val="00896A7C"/>
    <w:rsid w:val="008A062D"/>
    <w:rsid w:val="008A0F9D"/>
    <w:rsid w:val="008A1AD9"/>
    <w:rsid w:val="008A465B"/>
    <w:rsid w:val="008B1238"/>
    <w:rsid w:val="008B622F"/>
    <w:rsid w:val="008C01E9"/>
    <w:rsid w:val="008C21AF"/>
    <w:rsid w:val="008C2A95"/>
    <w:rsid w:val="008C40F0"/>
    <w:rsid w:val="008D003A"/>
    <w:rsid w:val="008D04D8"/>
    <w:rsid w:val="008D3ACF"/>
    <w:rsid w:val="008E0B21"/>
    <w:rsid w:val="008E19E5"/>
    <w:rsid w:val="008E2A67"/>
    <w:rsid w:val="008E40AB"/>
    <w:rsid w:val="008E4D86"/>
    <w:rsid w:val="008E658F"/>
    <w:rsid w:val="008E65BD"/>
    <w:rsid w:val="008F414A"/>
    <w:rsid w:val="008F5190"/>
    <w:rsid w:val="008F6683"/>
    <w:rsid w:val="008F6916"/>
    <w:rsid w:val="009042EC"/>
    <w:rsid w:val="00905F98"/>
    <w:rsid w:val="00920BCE"/>
    <w:rsid w:val="0092266D"/>
    <w:rsid w:val="009254D2"/>
    <w:rsid w:val="0092607D"/>
    <w:rsid w:val="009335D1"/>
    <w:rsid w:val="00933D66"/>
    <w:rsid w:val="00934745"/>
    <w:rsid w:val="009433B8"/>
    <w:rsid w:val="00943B00"/>
    <w:rsid w:val="00944E55"/>
    <w:rsid w:val="00947010"/>
    <w:rsid w:val="0095047A"/>
    <w:rsid w:val="009520B1"/>
    <w:rsid w:val="00953FB7"/>
    <w:rsid w:val="00954DB2"/>
    <w:rsid w:val="00955BFE"/>
    <w:rsid w:val="00961E8E"/>
    <w:rsid w:val="009661BE"/>
    <w:rsid w:val="00966C99"/>
    <w:rsid w:val="0097096B"/>
    <w:rsid w:val="00976041"/>
    <w:rsid w:val="009863D7"/>
    <w:rsid w:val="009907B6"/>
    <w:rsid w:val="00991301"/>
    <w:rsid w:val="00993EED"/>
    <w:rsid w:val="00993F1C"/>
    <w:rsid w:val="009944CF"/>
    <w:rsid w:val="0099560E"/>
    <w:rsid w:val="009A43CE"/>
    <w:rsid w:val="009A5A58"/>
    <w:rsid w:val="009B008E"/>
    <w:rsid w:val="009B0A13"/>
    <w:rsid w:val="009B0A9C"/>
    <w:rsid w:val="009B32EB"/>
    <w:rsid w:val="009B546B"/>
    <w:rsid w:val="009B6129"/>
    <w:rsid w:val="009B72DC"/>
    <w:rsid w:val="009B748D"/>
    <w:rsid w:val="009C28DA"/>
    <w:rsid w:val="009C2A2E"/>
    <w:rsid w:val="009C4024"/>
    <w:rsid w:val="009C444C"/>
    <w:rsid w:val="009C71D6"/>
    <w:rsid w:val="009D3209"/>
    <w:rsid w:val="009D60F0"/>
    <w:rsid w:val="009F107A"/>
    <w:rsid w:val="009F10BE"/>
    <w:rsid w:val="009F3B67"/>
    <w:rsid w:val="009F4271"/>
    <w:rsid w:val="009F570A"/>
    <w:rsid w:val="009F58CE"/>
    <w:rsid w:val="00A0315F"/>
    <w:rsid w:val="00A04588"/>
    <w:rsid w:val="00A0461C"/>
    <w:rsid w:val="00A0539F"/>
    <w:rsid w:val="00A05BBB"/>
    <w:rsid w:val="00A07000"/>
    <w:rsid w:val="00A13A17"/>
    <w:rsid w:val="00A15DC7"/>
    <w:rsid w:val="00A179A5"/>
    <w:rsid w:val="00A22E4E"/>
    <w:rsid w:val="00A23C71"/>
    <w:rsid w:val="00A24A55"/>
    <w:rsid w:val="00A30735"/>
    <w:rsid w:val="00A35F12"/>
    <w:rsid w:val="00A37273"/>
    <w:rsid w:val="00A419AB"/>
    <w:rsid w:val="00A43977"/>
    <w:rsid w:val="00A43D4E"/>
    <w:rsid w:val="00A4764E"/>
    <w:rsid w:val="00A51F2C"/>
    <w:rsid w:val="00A56F65"/>
    <w:rsid w:val="00A651F2"/>
    <w:rsid w:val="00A70473"/>
    <w:rsid w:val="00A722AB"/>
    <w:rsid w:val="00A729BF"/>
    <w:rsid w:val="00A75DB6"/>
    <w:rsid w:val="00A77439"/>
    <w:rsid w:val="00A8541F"/>
    <w:rsid w:val="00A904AA"/>
    <w:rsid w:val="00A9375B"/>
    <w:rsid w:val="00A94144"/>
    <w:rsid w:val="00A95FDD"/>
    <w:rsid w:val="00A97381"/>
    <w:rsid w:val="00AA0879"/>
    <w:rsid w:val="00AA2C27"/>
    <w:rsid w:val="00AA6F19"/>
    <w:rsid w:val="00AB27DE"/>
    <w:rsid w:val="00AB42B8"/>
    <w:rsid w:val="00AB53B9"/>
    <w:rsid w:val="00AC05FD"/>
    <w:rsid w:val="00AC0813"/>
    <w:rsid w:val="00AC2D1B"/>
    <w:rsid w:val="00AC3F3B"/>
    <w:rsid w:val="00AC4166"/>
    <w:rsid w:val="00AC4C6E"/>
    <w:rsid w:val="00AC56A7"/>
    <w:rsid w:val="00AC7B4D"/>
    <w:rsid w:val="00AC7C3F"/>
    <w:rsid w:val="00AD2F06"/>
    <w:rsid w:val="00AD41AA"/>
    <w:rsid w:val="00AD622C"/>
    <w:rsid w:val="00AD71FD"/>
    <w:rsid w:val="00AE0D27"/>
    <w:rsid w:val="00AE270C"/>
    <w:rsid w:val="00AE72E1"/>
    <w:rsid w:val="00AE76DF"/>
    <w:rsid w:val="00AF07AC"/>
    <w:rsid w:val="00B019DF"/>
    <w:rsid w:val="00B01D3F"/>
    <w:rsid w:val="00B1036A"/>
    <w:rsid w:val="00B11C94"/>
    <w:rsid w:val="00B123C9"/>
    <w:rsid w:val="00B221CC"/>
    <w:rsid w:val="00B22D57"/>
    <w:rsid w:val="00B24ACB"/>
    <w:rsid w:val="00B25CD8"/>
    <w:rsid w:val="00B25E0B"/>
    <w:rsid w:val="00B27CA0"/>
    <w:rsid w:val="00B32FF8"/>
    <w:rsid w:val="00B350F1"/>
    <w:rsid w:val="00B4228A"/>
    <w:rsid w:val="00B44C28"/>
    <w:rsid w:val="00B629C4"/>
    <w:rsid w:val="00B647B7"/>
    <w:rsid w:val="00B654EF"/>
    <w:rsid w:val="00B65740"/>
    <w:rsid w:val="00B7535B"/>
    <w:rsid w:val="00B75AEA"/>
    <w:rsid w:val="00B76B0D"/>
    <w:rsid w:val="00B82DFD"/>
    <w:rsid w:val="00B859BF"/>
    <w:rsid w:val="00B92850"/>
    <w:rsid w:val="00B9366D"/>
    <w:rsid w:val="00B93B76"/>
    <w:rsid w:val="00B964D5"/>
    <w:rsid w:val="00B97559"/>
    <w:rsid w:val="00BA1902"/>
    <w:rsid w:val="00BA3D58"/>
    <w:rsid w:val="00BA74A9"/>
    <w:rsid w:val="00BA7E64"/>
    <w:rsid w:val="00BB4664"/>
    <w:rsid w:val="00BB6FD9"/>
    <w:rsid w:val="00BC060F"/>
    <w:rsid w:val="00BC1EB5"/>
    <w:rsid w:val="00BC36BA"/>
    <w:rsid w:val="00BD0555"/>
    <w:rsid w:val="00BD4CA1"/>
    <w:rsid w:val="00BD4D48"/>
    <w:rsid w:val="00BD5D96"/>
    <w:rsid w:val="00BE0098"/>
    <w:rsid w:val="00BE6CA0"/>
    <w:rsid w:val="00BE7BF3"/>
    <w:rsid w:val="00BF001F"/>
    <w:rsid w:val="00BF0424"/>
    <w:rsid w:val="00BF383D"/>
    <w:rsid w:val="00BF5653"/>
    <w:rsid w:val="00C0464C"/>
    <w:rsid w:val="00C05FF1"/>
    <w:rsid w:val="00C0683D"/>
    <w:rsid w:val="00C1045E"/>
    <w:rsid w:val="00C13CB2"/>
    <w:rsid w:val="00C14F44"/>
    <w:rsid w:val="00C22154"/>
    <w:rsid w:val="00C225A5"/>
    <w:rsid w:val="00C27748"/>
    <w:rsid w:val="00C2796A"/>
    <w:rsid w:val="00C301B8"/>
    <w:rsid w:val="00C30F51"/>
    <w:rsid w:val="00C31B2A"/>
    <w:rsid w:val="00C32C00"/>
    <w:rsid w:val="00C37C0F"/>
    <w:rsid w:val="00C406DB"/>
    <w:rsid w:val="00C408FC"/>
    <w:rsid w:val="00C40D92"/>
    <w:rsid w:val="00C41028"/>
    <w:rsid w:val="00C415D7"/>
    <w:rsid w:val="00C4172D"/>
    <w:rsid w:val="00C46AFD"/>
    <w:rsid w:val="00C51581"/>
    <w:rsid w:val="00C5192E"/>
    <w:rsid w:val="00C51CE2"/>
    <w:rsid w:val="00C556EA"/>
    <w:rsid w:val="00C65046"/>
    <w:rsid w:val="00C656CD"/>
    <w:rsid w:val="00C659DC"/>
    <w:rsid w:val="00C67C8D"/>
    <w:rsid w:val="00C70038"/>
    <w:rsid w:val="00C72021"/>
    <w:rsid w:val="00C75362"/>
    <w:rsid w:val="00C768C7"/>
    <w:rsid w:val="00C81766"/>
    <w:rsid w:val="00C84463"/>
    <w:rsid w:val="00C90F35"/>
    <w:rsid w:val="00C9154D"/>
    <w:rsid w:val="00C9204F"/>
    <w:rsid w:val="00C92293"/>
    <w:rsid w:val="00C93549"/>
    <w:rsid w:val="00C93AF5"/>
    <w:rsid w:val="00C973F9"/>
    <w:rsid w:val="00C97C5E"/>
    <w:rsid w:val="00CA0EB0"/>
    <w:rsid w:val="00CA110B"/>
    <w:rsid w:val="00CA51CE"/>
    <w:rsid w:val="00CA5ECF"/>
    <w:rsid w:val="00CB2114"/>
    <w:rsid w:val="00CB2C9E"/>
    <w:rsid w:val="00CD570D"/>
    <w:rsid w:val="00CD7DD0"/>
    <w:rsid w:val="00CE06ED"/>
    <w:rsid w:val="00CE2852"/>
    <w:rsid w:val="00CE3FC0"/>
    <w:rsid w:val="00CE52D7"/>
    <w:rsid w:val="00D01A17"/>
    <w:rsid w:val="00D10A77"/>
    <w:rsid w:val="00D13D10"/>
    <w:rsid w:val="00D14701"/>
    <w:rsid w:val="00D14DA4"/>
    <w:rsid w:val="00D166C5"/>
    <w:rsid w:val="00D206BE"/>
    <w:rsid w:val="00D233B8"/>
    <w:rsid w:val="00D23445"/>
    <w:rsid w:val="00D25DB2"/>
    <w:rsid w:val="00D25DF8"/>
    <w:rsid w:val="00D33DC9"/>
    <w:rsid w:val="00D35770"/>
    <w:rsid w:val="00D40118"/>
    <w:rsid w:val="00D427F4"/>
    <w:rsid w:val="00D42F2F"/>
    <w:rsid w:val="00D43F25"/>
    <w:rsid w:val="00D45478"/>
    <w:rsid w:val="00D45EAC"/>
    <w:rsid w:val="00D47927"/>
    <w:rsid w:val="00D51856"/>
    <w:rsid w:val="00D52F21"/>
    <w:rsid w:val="00D53D35"/>
    <w:rsid w:val="00D6114B"/>
    <w:rsid w:val="00D6782E"/>
    <w:rsid w:val="00D72924"/>
    <w:rsid w:val="00D83312"/>
    <w:rsid w:val="00D83B7D"/>
    <w:rsid w:val="00D85A58"/>
    <w:rsid w:val="00D90E06"/>
    <w:rsid w:val="00D90FC8"/>
    <w:rsid w:val="00D92918"/>
    <w:rsid w:val="00D936F6"/>
    <w:rsid w:val="00D93883"/>
    <w:rsid w:val="00D9390E"/>
    <w:rsid w:val="00D963B1"/>
    <w:rsid w:val="00DA5E54"/>
    <w:rsid w:val="00DB02DA"/>
    <w:rsid w:val="00DB416D"/>
    <w:rsid w:val="00DB586C"/>
    <w:rsid w:val="00DB73F0"/>
    <w:rsid w:val="00DC3595"/>
    <w:rsid w:val="00DC46AA"/>
    <w:rsid w:val="00DC62FA"/>
    <w:rsid w:val="00DD29AD"/>
    <w:rsid w:val="00DD6ADC"/>
    <w:rsid w:val="00DE0164"/>
    <w:rsid w:val="00DE0E26"/>
    <w:rsid w:val="00DE1CFF"/>
    <w:rsid w:val="00DE4161"/>
    <w:rsid w:val="00DE5D57"/>
    <w:rsid w:val="00DF22DF"/>
    <w:rsid w:val="00DF3968"/>
    <w:rsid w:val="00E0079C"/>
    <w:rsid w:val="00E024D9"/>
    <w:rsid w:val="00E073E4"/>
    <w:rsid w:val="00E10471"/>
    <w:rsid w:val="00E14380"/>
    <w:rsid w:val="00E24182"/>
    <w:rsid w:val="00E2735B"/>
    <w:rsid w:val="00E30617"/>
    <w:rsid w:val="00E31476"/>
    <w:rsid w:val="00E51B17"/>
    <w:rsid w:val="00E52CC2"/>
    <w:rsid w:val="00E55931"/>
    <w:rsid w:val="00E55BEE"/>
    <w:rsid w:val="00E56741"/>
    <w:rsid w:val="00E569C9"/>
    <w:rsid w:val="00E60EAD"/>
    <w:rsid w:val="00E65490"/>
    <w:rsid w:val="00E67671"/>
    <w:rsid w:val="00E723FF"/>
    <w:rsid w:val="00E726E8"/>
    <w:rsid w:val="00E728E7"/>
    <w:rsid w:val="00E750E7"/>
    <w:rsid w:val="00E770DD"/>
    <w:rsid w:val="00E80686"/>
    <w:rsid w:val="00E82E16"/>
    <w:rsid w:val="00E83C84"/>
    <w:rsid w:val="00E841CF"/>
    <w:rsid w:val="00E92D5B"/>
    <w:rsid w:val="00E969CE"/>
    <w:rsid w:val="00EA7BB4"/>
    <w:rsid w:val="00EB0936"/>
    <w:rsid w:val="00EB3636"/>
    <w:rsid w:val="00EB5AB2"/>
    <w:rsid w:val="00EC53D4"/>
    <w:rsid w:val="00ED1E90"/>
    <w:rsid w:val="00ED4B22"/>
    <w:rsid w:val="00ED5513"/>
    <w:rsid w:val="00ED6E08"/>
    <w:rsid w:val="00EE1728"/>
    <w:rsid w:val="00EE2817"/>
    <w:rsid w:val="00EE2ACB"/>
    <w:rsid w:val="00EF13C0"/>
    <w:rsid w:val="00EF24FF"/>
    <w:rsid w:val="00F00A83"/>
    <w:rsid w:val="00F02803"/>
    <w:rsid w:val="00F0490D"/>
    <w:rsid w:val="00F07672"/>
    <w:rsid w:val="00F14950"/>
    <w:rsid w:val="00F15153"/>
    <w:rsid w:val="00F16DEF"/>
    <w:rsid w:val="00F23061"/>
    <w:rsid w:val="00F27393"/>
    <w:rsid w:val="00F2752C"/>
    <w:rsid w:val="00F27FED"/>
    <w:rsid w:val="00F34346"/>
    <w:rsid w:val="00F35D82"/>
    <w:rsid w:val="00F363E0"/>
    <w:rsid w:val="00F4261D"/>
    <w:rsid w:val="00F455DC"/>
    <w:rsid w:val="00F45D8A"/>
    <w:rsid w:val="00F46096"/>
    <w:rsid w:val="00F462B9"/>
    <w:rsid w:val="00F47F8A"/>
    <w:rsid w:val="00F50B4E"/>
    <w:rsid w:val="00F514CA"/>
    <w:rsid w:val="00F5453E"/>
    <w:rsid w:val="00F54642"/>
    <w:rsid w:val="00F5618E"/>
    <w:rsid w:val="00F60314"/>
    <w:rsid w:val="00F626E2"/>
    <w:rsid w:val="00F64318"/>
    <w:rsid w:val="00F701BA"/>
    <w:rsid w:val="00F73995"/>
    <w:rsid w:val="00F81038"/>
    <w:rsid w:val="00F87F76"/>
    <w:rsid w:val="00F90A82"/>
    <w:rsid w:val="00F911FC"/>
    <w:rsid w:val="00F946F5"/>
    <w:rsid w:val="00F97AE2"/>
    <w:rsid w:val="00FA5ADA"/>
    <w:rsid w:val="00FA5F1F"/>
    <w:rsid w:val="00FA71AB"/>
    <w:rsid w:val="00FB0B03"/>
    <w:rsid w:val="00FB15B5"/>
    <w:rsid w:val="00FB2452"/>
    <w:rsid w:val="00FB4C6D"/>
    <w:rsid w:val="00FB65A9"/>
    <w:rsid w:val="00FC00E0"/>
    <w:rsid w:val="00FC4BC9"/>
    <w:rsid w:val="00FC56E1"/>
    <w:rsid w:val="00FD3565"/>
    <w:rsid w:val="00FD3F2C"/>
    <w:rsid w:val="00FD4E9E"/>
    <w:rsid w:val="00FD704C"/>
    <w:rsid w:val="00FE508A"/>
    <w:rsid w:val="00FE6DB7"/>
    <w:rsid w:val="00FF0D7D"/>
    <w:rsid w:val="00FF2554"/>
    <w:rsid w:val="00FF5F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E50C1E"/>
  <w15:chartTrackingRefBased/>
  <w15:docId w15:val="{B0295050-E961-B94F-9B90-A2886932C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4CA6"/>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024D9"/>
    <w:pPr>
      <w:ind w:left="720"/>
      <w:contextualSpacing/>
    </w:pPr>
    <w:rPr>
      <w:rFonts w:asciiTheme="minorHAnsi" w:eastAsiaTheme="minorHAnsi" w:hAnsiTheme="minorHAnsi" w:cstheme="minorBidi"/>
    </w:rPr>
  </w:style>
  <w:style w:type="paragraph" w:styleId="FootnoteText">
    <w:name w:val="footnote text"/>
    <w:basedOn w:val="Normal"/>
    <w:link w:val="FootnoteTextChar"/>
    <w:uiPriority w:val="99"/>
    <w:semiHidden/>
    <w:unhideWhenUsed/>
    <w:rsid w:val="005C0C44"/>
    <w:rPr>
      <w:sz w:val="20"/>
      <w:szCs w:val="20"/>
    </w:rPr>
  </w:style>
  <w:style w:type="character" w:customStyle="1" w:styleId="FootnoteTextChar">
    <w:name w:val="Footnote Text Char"/>
    <w:basedOn w:val="DefaultParagraphFont"/>
    <w:link w:val="FootnoteText"/>
    <w:uiPriority w:val="99"/>
    <w:semiHidden/>
    <w:rsid w:val="005C0C44"/>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5C0C44"/>
    <w:rPr>
      <w:vertAlign w:val="superscript"/>
    </w:rPr>
  </w:style>
  <w:style w:type="character" w:styleId="Hyperlink">
    <w:name w:val="Hyperlink"/>
    <w:basedOn w:val="DefaultParagraphFont"/>
    <w:uiPriority w:val="99"/>
    <w:unhideWhenUsed/>
    <w:rsid w:val="005C0C44"/>
    <w:rPr>
      <w:color w:val="0000FF"/>
      <w:u w:val="single"/>
    </w:rPr>
  </w:style>
  <w:style w:type="character" w:customStyle="1" w:styleId="reference-accessdate">
    <w:name w:val="reference-accessdate"/>
    <w:basedOn w:val="DefaultParagraphFont"/>
    <w:rsid w:val="005C0C44"/>
  </w:style>
  <w:style w:type="character" w:customStyle="1" w:styleId="nowrap">
    <w:name w:val="nowrap"/>
    <w:basedOn w:val="DefaultParagraphFont"/>
    <w:rsid w:val="005C0C44"/>
  </w:style>
  <w:style w:type="character" w:styleId="FollowedHyperlink">
    <w:name w:val="FollowedHyperlink"/>
    <w:basedOn w:val="DefaultParagraphFont"/>
    <w:uiPriority w:val="99"/>
    <w:semiHidden/>
    <w:unhideWhenUsed/>
    <w:rsid w:val="005C0C44"/>
    <w:rPr>
      <w:color w:val="954F72" w:themeColor="followedHyperlink"/>
      <w:u w:val="single"/>
    </w:rPr>
  </w:style>
  <w:style w:type="paragraph" w:styleId="NormalWeb">
    <w:name w:val="Normal (Web)"/>
    <w:basedOn w:val="Normal"/>
    <w:uiPriority w:val="99"/>
    <w:unhideWhenUsed/>
    <w:rsid w:val="0055428B"/>
    <w:pPr>
      <w:spacing w:before="100" w:beforeAutospacing="1" w:after="100" w:afterAutospacing="1"/>
    </w:pPr>
  </w:style>
  <w:style w:type="character" w:styleId="CommentReference">
    <w:name w:val="annotation reference"/>
    <w:basedOn w:val="DefaultParagraphFont"/>
    <w:uiPriority w:val="99"/>
    <w:semiHidden/>
    <w:unhideWhenUsed/>
    <w:rsid w:val="001E4700"/>
    <w:rPr>
      <w:sz w:val="16"/>
      <w:szCs w:val="16"/>
    </w:rPr>
  </w:style>
  <w:style w:type="paragraph" w:styleId="CommentText">
    <w:name w:val="annotation text"/>
    <w:basedOn w:val="Normal"/>
    <w:link w:val="CommentTextChar"/>
    <w:uiPriority w:val="99"/>
    <w:semiHidden/>
    <w:unhideWhenUsed/>
    <w:rsid w:val="001E4700"/>
    <w:rPr>
      <w:sz w:val="20"/>
      <w:szCs w:val="20"/>
    </w:rPr>
  </w:style>
  <w:style w:type="character" w:customStyle="1" w:styleId="CommentTextChar">
    <w:name w:val="Comment Text Char"/>
    <w:basedOn w:val="DefaultParagraphFont"/>
    <w:link w:val="CommentText"/>
    <w:uiPriority w:val="99"/>
    <w:semiHidden/>
    <w:rsid w:val="001E470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E4700"/>
    <w:rPr>
      <w:b/>
      <w:bCs/>
    </w:rPr>
  </w:style>
  <w:style w:type="character" w:customStyle="1" w:styleId="CommentSubjectChar">
    <w:name w:val="Comment Subject Char"/>
    <w:basedOn w:val="CommentTextChar"/>
    <w:link w:val="CommentSubject"/>
    <w:uiPriority w:val="99"/>
    <w:semiHidden/>
    <w:rsid w:val="001E4700"/>
    <w:rPr>
      <w:rFonts w:ascii="Times New Roman" w:eastAsia="Times New Roman" w:hAnsi="Times New Roman" w:cs="Times New Roman"/>
      <w:b/>
      <w:bCs/>
      <w:sz w:val="20"/>
      <w:szCs w:val="20"/>
    </w:rPr>
  </w:style>
  <w:style w:type="character" w:styleId="UnresolvedMention">
    <w:name w:val="Unresolved Mention"/>
    <w:basedOn w:val="DefaultParagraphFont"/>
    <w:uiPriority w:val="99"/>
    <w:semiHidden/>
    <w:unhideWhenUsed/>
    <w:rsid w:val="007E25E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37050">
      <w:bodyDiv w:val="1"/>
      <w:marLeft w:val="0"/>
      <w:marRight w:val="0"/>
      <w:marTop w:val="0"/>
      <w:marBottom w:val="0"/>
      <w:divBdr>
        <w:top w:val="none" w:sz="0" w:space="0" w:color="auto"/>
        <w:left w:val="none" w:sz="0" w:space="0" w:color="auto"/>
        <w:bottom w:val="none" w:sz="0" w:space="0" w:color="auto"/>
        <w:right w:val="none" w:sz="0" w:space="0" w:color="auto"/>
      </w:divBdr>
    </w:div>
    <w:div w:id="51932006">
      <w:bodyDiv w:val="1"/>
      <w:marLeft w:val="0"/>
      <w:marRight w:val="0"/>
      <w:marTop w:val="0"/>
      <w:marBottom w:val="0"/>
      <w:divBdr>
        <w:top w:val="none" w:sz="0" w:space="0" w:color="auto"/>
        <w:left w:val="none" w:sz="0" w:space="0" w:color="auto"/>
        <w:bottom w:val="none" w:sz="0" w:space="0" w:color="auto"/>
        <w:right w:val="none" w:sz="0" w:space="0" w:color="auto"/>
      </w:divBdr>
      <w:divsChild>
        <w:div w:id="468977965">
          <w:marLeft w:val="0"/>
          <w:marRight w:val="0"/>
          <w:marTop w:val="0"/>
          <w:marBottom w:val="0"/>
          <w:divBdr>
            <w:top w:val="none" w:sz="0" w:space="0" w:color="auto"/>
            <w:left w:val="none" w:sz="0" w:space="0" w:color="auto"/>
            <w:bottom w:val="none" w:sz="0" w:space="0" w:color="auto"/>
            <w:right w:val="none" w:sz="0" w:space="0" w:color="auto"/>
          </w:divBdr>
          <w:divsChild>
            <w:div w:id="1935895540">
              <w:marLeft w:val="0"/>
              <w:marRight w:val="0"/>
              <w:marTop w:val="0"/>
              <w:marBottom w:val="0"/>
              <w:divBdr>
                <w:top w:val="none" w:sz="0" w:space="0" w:color="auto"/>
                <w:left w:val="none" w:sz="0" w:space="0" w:color="auto"/>
                <w:bottom w:val="none" w:sz="0" w:space="0" w:color="auto"/>
                <w:right w:val="none" w:sz="0" w:space="0" w:color="auto"/>
              </w:divBdr>
              <w:divsChild>
                <w:div w:id="44303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17875">
      <w:bodyDiv w:val="1"/>
      <w:marLeft w:val="0"/>
      <w:marRight w:val="0"/>
      <w:marTop w:val="0"/>
      <w:marBottom w:val="0"/>
      <w:divBdr>
        <w:top w:val="none" w:sz="0" w:space="0" w:color="auto"/>
        <w:left w:val="none" w:sz="0" w:space="0" w:color="auto"/>
        <w:bottom w:val="none" w:sz="0" w:space="0" w:color="auto"/>
        <w:right w:val="none" w:sz="0" w:space="0" w:color="auto"/>
      </w:divBdr>
    </w:div>
    <w:div w:id="149639779">
      <w:bodyDiv w:val="1"/>
      <w:marLeft w:val="0"/>
      <w:marRight w:val="0"/>
      <w:marTop w:val="0"/>
      <w:marBottom w:val="0"/>
      <w:divBdr>
        <w:top w:val="none" w:sz="0" w:space="0" w:color="auto"/>
        <w:left w:val="none" w:sz="0" w:space="0" w:color="auto"/>
        <w:bottom w:val="none" w:sz="0" w:space="0" w:color="auto"/>
        <w:right w:val="none" w:sz="0" w:space="0" w:color="auto"/>
      </w:divBdr>
    </w:div>
    <w:div w:id="163402092">
      <w:bodyDiv w:val="1"/>
      <w:marLeft w:val="0"/>
      <w:marRight w:val="0"/>
      <w:marTop w:val="0"/>
      <w:marBottom w:val="0"/>
      <w:divBdr>
        <w:top w:val="none" w:sz="0" w:space="0" w:color="auto"/>
        <w:left w:val="none" w:sz="0" w:space="0" w:color="auto"/>
        <w:bottom w:val="none" w:sz="0" w:space="0" w:color="auto"/>
        <w:right w:val="none" w:sz="0" w:space="0" w:color="auto"/>
      </w:divBdr>
    </w:div>
    <w:div w:id="194080161">
      <w:bodyDiv w:val="1"/>
      <w:marLeft w:val="0"/>
      <w:marRight w:val="0"/>
      <w:marTop w:val="0"/>
      <w:marBottom w:val="0"/>
      <w:divBdr>
        <w:top w:val="none" w:sz="0" w:space="0" w:color="auto"/>
        <w:left w:val="none" w:sz="0" w:space="0" w:color="auto"/>
        <w:bottom w:val="none" w:sz="0" w:space="0" w:color="auto"/>
        <w:right w:val="none" w:sz="0" w:space="0" w:color="auto"/>
      </w:divBdr>
    </w:div>
    <w:div w:id="286935625">
      <w:bodyDiv w:val="1"/>
      <w:marLeft w:val="0"/>
      <w:marRight w:val="0"/>
      <w:marTop w:val="0"/>
      <w:marBottom w:val="0"/>
      <w:divBdr>
        <w:top w:val="none" w:sz="0" w:space="0" w:color="auto"/>
        <w:left w:val="none" w:sz="0" w:space="0" w:color="auto"/>
        <w:bottom w:val="none" w:sz="0" w:space="0" w:color="auto"/>
        <w:right w:val="none" w:sz="0" w:space="0" w:color="auto"/>
      </w:divBdr>
    </w:div>
    <w:div w:id="305622594">
      <w:bodyDiv w:val="1"/>
      <w:marLeft w:val="0"/>
      <w:marRight w:val="0"/>
      <w:marTop w:val="0"/>
      <w:marBottom w:val="0"/>
      <w:divBdr>
        <w:top w:val="none" w:sz="0" w:space="0" w:color="auto"/>
        <w:left w:val="none" w:sz="0" w:space="0" w:color="auto"/>
        <w:bottom w:val="none" w:sz="0" w:space="0" w:color="auto"/>
        <w:right w:val="none" w:sz="0" w:space="0" w:color="auto"/>
      </w:divBdr>
    </w:div>
    <w:div w:id="314184740">
      <w:bodyDiv w:val="1"/>
      <w:marLeft w:val="0"/>
      <w:marRight w:val="0"/>
      <w:marTop w:val="0"/>
      <w:marBottom w:val="0"/>
      <w:divBdr>
        <w:top w:val="none" w:sz="0" w:space="0" w:color="auto"/>
        <w:left w:val="none" w:sz="0" w:space="0" w:color="auto"/>
        <w:bottom w:val="none" w:sz="0" w:space="0" w:color="auto"/>
        <w:right w:val="none" w:sz="0" w:space="0" w:color="auto"/>
      </w:divBdr>
    </w:div>
    <w:div w:id="363335162">
      <w:bodyDiv w:val="1"/>
      <w:marLeft w:val="0"/>
      <w:marRight w:val="0"/>
      <w:marTop w:val="0"/>
      <w:marBottom w:val="0"/>
      <w:divBdr>
        <w:top w:val="none" w:sz="0" w:space="0" w:color="auto"/>
        <w:left w:val="none" w:sz="0" w:space="0" w:color="auto"/>
        <w:bottom w:val="none" w:sz="0" w:space="0" w:color="auto"/>
        <w:right w:val="none" w:sz="0" w:space="0" w:color="auto"/>
      </w:divBdr>
      <w:divsChild>
        <w:div w:id="156073773">
          <w:marLeft w:val="0"/>
          <w:marRight w:val="0"/>
          <w:marTop w:val="0"/>
          <w:marBottom w:val="0"/>
          <w:divBdr>
            <w:top w:val="none" w:sz="0" w:space="0" w:color="auto"/>
            <w:left w:val="none" w:sz="0" w:space="0" w:color="auto"/>
            <w:bottom w:val="none" w:sz="0" w:space="0" w:color="auto"/>
            <w:right w:val="none" w:sz="0" w:space="0" w:color="auto"/>
          </w:divBdr>
          <w:divsChild>
            <w:div w:id="1690985826">
              <w:marLeft w:val="0"/>
              <w:marRight w:val="0"/>
              <w:marTop w:val="0"/>
              <w:marBottom w:val="0"/>
              <w:divBdr>
                <w:top w:val="none" w:sz="0" w:space="0" w:color="auto"/>
                <w:left w:val="none" w:sz="0" w:space="0" w:color="auto"/>
                <w:bottom w:val="none" w:sz="0" w:space="0" w:color="auto"/>
                <w:right w:val="none" w:sz="0" w:space="0" w:color="auto"/>
              </w:divBdr>
              <w:divsChild>
                <w:div w:id="1521620576">
                  <w:marLeft w:val="0"/>
                  <w:marRight w:val="0"/>
                  <w:marTop w:val="0"/>
                  <w:marBottom w:val="0"/>
                  <w:divBdr>
                    <w:top w:val="none" w:sz="0" w:space="0" w:color="auto"/>
                    <w:left w:val="none" w:sz="0" w:space="0" w:color="auto"/>
                    <w:bottom w:val="none" w:sz="0" w:space="0" w:color="auto"/>
                    <w:right w:val="none" w:sz="0" w:space="0" w:color="auto"/>
                  </w:divBdr>
                  <w:divsChild>
                    <w:div w:id="944262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900545">
      <w:bodyDiv w:val="1"/>
      <w:marLeft w:val="0"/>
      <w:marRight w:val="0"/>
      <w:marTop w:val="0"/>
      <w:marBottom w:val="0"/>
      <w:divBdr>
        <w:top w:val="none" w:sz="0" w:space="0" w:color="auto"/>
        <w:left w:val="none" w:sz="0" w:space="0" w:color="auto"/>
        <w:bottom w:val="none" w:sz="0" w:space="0" w:color="auto"/>
        <w:right w:val="none" w:sz="0" w:space="0" w:color="auto"/>
      </w:divBdr>
    </w:div>
    <w:div w:id="382870462">
      <w:bodyDiv w:val="1"/>
      <w:marLeft w:val="0"/>
      <w:marRight w:val="0"/>
      <w:marTop w:val="0"/>
      <w:marBottom w:val="0"/>
      <w:divBdr>
        <w:top w:val="none" w:sz="0" w:space="0" w:color="auto"/>
        <w:left w:val="none" w:sz="0" w:space="0" w:color="auto"/>
        <w:bottom w:val="none" w:sz="0" w:space="0" w:color="auto"/>
        <w:right w:val="none" w:sz="0" w:space="0" w:color="auto"/>
      </w:divBdr>
    </w:div>
    <w:div w:id="422074956">
      <w:bodyDiv w:val="1"/>
      <w:marLeft w:val="0"/>
      <w:marRight w:val="0"/>
      <w:marTop w:val="0"/>
      <w:marBottom w:val="0"/>
      <w:divBdr>
        <w:top w:val="none" w:sz="0" w:space="0" w:color="auto"/>
        <w:left w:val="none" w:sz="0" w:space="0" w:color="auto"/>
        <w:bottom w:val="none" w:sz="0" w:space="0" w:color="auto"/>
        <w:right w:val="none" w:sz="0" w:space="0" w:color="auto"/>
      </w:divBdr>
    </w:div>
    <w:div w:id="425271049">
      <w:bodyDiv w:val="1"/>
      <w:marLeft w:val="0"/>
      <w:marRight w:val="0"/>
      <w:marTop w:val="0"/>
      <w:marBottom w:val="0"/>
      <w:divBdr>
        <w:top w:val="none" w:sz="0" w:space="0" w:color="auto"/>
        <w:left w:val="none" w:sz="0" w:space="0" w:color="auto"/>
        <w:bottom w:val="none" w:sz="0" w:space="0" w:color="auto"/>
        <w:right w:val="none" w:sz="0" w:space="0" w:color="auto"/>
      </w:divBdr>
      <w:divsChild>
        <w:div w:id="1398624069">
          <w:marLeft w:val="0"/>
          <w:marRight w:val="0"/>
          <w:marTop w:val="0"/>
          <w:marBottom w:val="0"/>
          <w:divBdr>
            <w:top w:val="none" w:sz="0" w:space="0" w:color="auto"/>
            <w:left w:val="none" w:sz="0" w:space="0" w:color="auto"/>
            <w:bottom w:val="none" w:sz="0" w:space="0" w:color="auto"/>
            <w:right w:val="none" w:sz="0" w:space="0" w:color="auto"/>
          </w:divBdr>
          <w:divsChild>
            <w:div w:id="1911115403">
              <w:marLeft w:val="0"/>
              <w:marRight w:val="0"/>
              <w:marTop w:val="0"/>
              <w:marBottom w:val="0"/>
              <w:divBdr>
                <w:top w:val="none" w:sz="0" w:space="0" w:color="auto"/>
                <w:left w:val="none" w:sz="0" w:space="0" w:color="auto"/>
                <w:bottom w:val="none" w:sz="0" w:space="0" w:color="auto"/>
                <w:right w:val="none" w:sz="0" w:space="0" w:color="auto"/>
              </w:divBdr>
              <w:divsChild>
                <w:div w:id="345402705">
                  <w:marLeft w:val="0"/>
                  <w:marRight w:val="0"/>
                  <w:marTop w:val="0"/>
                  <w:marBottom w:val="0"/>
                  <w:divBdr>
                    <w:top w:val="none" w:sz="0" w:space="0" w:color="auto"/>
                    <w:left w:val="none" w:sz="0" w:space="0" w:color="auto"/>
                    <w:bottom w:val="none" w:sz="0" w:space="0" w:color="auto"/>
                    <w:right w:val="none" w:sz="0" w:space="0" w:color="auto"/>
                  </w:divBdr>
                  <w:divsChild>
                    <w:div w:id="143925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237348">
      <w:bodyDiv w:val="1"/>
      <w:marLeft w:val="0"/>
      <w:marRight w:val="0"/>
      <w:marTop w:val="0"/>
      <w:marBottom w:val="0"/>
      <w:divBdr>
        <w:top w:val="none" w:sz="0" w:space="0" w:color="auto"/>
        <w:left w:val="none" w:sz="0" w:space="0" w:color="auto"/>
        <w:bottom w:val="none" w:sz="0" w:space="0" w:color="auto"/>
        <w:right w:val="none" w:sz="0" w:space="0" w:color="auto"/>
      </w:divBdr>
    </w:div>
    <w:div w:id="477041562">
      <w:bodyDiv w:val="1"/>
      <w:marLeft w:val="0"/>
      <w:marRight w:val="0"/>
      <w:marTop w:val="0"/>
      <w:marBottom w:val="0"/>
      <w:divBdr>
        <w:top w:val="none" w:sz="0" w:space="0" w:color="auto"/>
        <w:left w:val="none" w:sz="0" w:space="0" w:color="auto"/>
        <w:bottom w:val="none" w:sz="0" w:space="0" w:color="auto"/>
        <w:right w:val="none" w:sz="0" w:space="0" w:color="auto"/>
      </w:divBdr>
    </w:div>
    <w:div w:id="495995922">
      <w:bodyDiv w:val="1"/>
      <w:marLeft w:val="0"/>
      <w:marRight w:val="0"/>
      <w:marTop w:val="0"/>
      <w:marBottom w:val="0"/>
      <w:divBdr>
        <w:top w:val="none" w:sz="0" w:space="0" w:color="auto"/>
        <w:left w:val="none" w:sz="0" w:space="0" w:color="auto"/>
        <w:bottom w:val="none" w:sz="0" w:space="0" w:color="auto"/>
        <w:right w:val="none" w:sz="0" w:space="0" w:color="auto"/>
      </w:divBdr>
      <w:divsChild>
        <w:div w:id="1655137912">
          <w:marLeft w:val="0"/>
          <w:marRight w:val="0"/>
          <w:marTop w:val="0"/>
          <w:marBottom w:val="0"/>
          <w:divBdr>
            <w:top w:val="none" w:sz="0" w:space="0" w:color="auto"/>
            <w:left w:val="none" w:sz="0" w:space="0" w:color="auto"/>
            <w:bottom w:val="none" w:sz="0" w:space="0" w:color="auto"/>
            <w:right w:val="none" w:sz="0" w:space="0" w:color="auto"/>
          </w:divBdr>
          <w:divsChild>
            <w:div w:id="1981111375">
              <w:marLeft w:val="0"/>
              <w:marRight w:val="0"/>
              <w:marTop w:val="0"/>
              <w:marBottom w:val="0"/>
              <w:divBdr>
                <w:top w:val="none" w:sz="0" w:space="0" w:color="auto"/>
                <w:left w:val="none" w:sz="0" w:space="0" w:color="auto"/>
                <w:bottom w:val="none" w:sz="0" w:space="0" w:color="auto"/>
                <w:right w:val="none" w:sz="0" w:space="0" w:color="auto"/>
              </w:divBdr>
              <w:divsChild>
                <w:div w:id="168016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442564">
      <w:bodyDiv w:val="1"/>
      <w:marLeft w:val="0"/>
      <w:marRight w:val="0"/>
      <w:marTop w:val="0"/>
      <w:marBottom w:val="0"/>
      <w:divBdr>
        <w:top w:val="none" w:sz="0" w:space="0" w:color="auto"/>
        <w:left w:val="none" w:sz="0" w:space="0" w:color="auto"/>
        <w:bottom w:val="none" w:sz="0" w:space="0" w:color="auto"/>
        <w:right w:val="none" w:sz="0" w:space="0" w:color="auto"/>
      </w:divBdr>
    </w:div>
    <w:div w:id="559486660">
      <w:bodyDiv w:val="1"/>
      <w:marLeft w:val="0"/>
      <w:marRight w:val="0"/>
      <w:marTop w:val="0"/>
      <w:marBottom w:val="0"/>
      <w:divBdr>
        <w:top w:val="none" w:sz="0" w:space="0" w:color="auto"/>
        <w:left w:val="none" w:sz="0" w:space="0" w:color="auto"/>
        <w:bottom w:val="none" w:sz="0" w:space="0" w:color="auto"/>
        <w:right w:val="none" w:sz="0" w:space="0" w:color="auto"/>
      </w:divBdr>
    </w:div>
    <w:div w:id="560483597">
      <w:bodyDiv w:val="1"/>
      <w:marLeft w:val="0"/>
      <w:marRight w:val="0"/>
      <w:marTop w:val="0"/>
      <w:marBottom w:val="0"/>
      <w:divBdr>
        <w:top w:val="none" w:sz="0" w:space="0" w:color="auto"/>
        <w:left w:val="none" w:sz="0" w:space="0" w:color="auto"/>
        <w:bottom w:val="none" w:sz="0" w:space="0" w:color="auto"/>
        <w:right w:val="none" w:sz="0" w:space="0" w:color="auto"/>
      </w:divBdr>
    </w:div>
    <w:div w:id="606501401">
      <w:bodyDiv w:val="1"/>
      <w:marLeft w:val="0"/>
      <w:marRight w:val="0"/>
      <w:marTop w:val="0"/>
      <w:marBottom w:val="0"/>
      <w:divBdr>
        <w:top w:val="none" w:sz="0" w:space="0" w:color="auto"/>
        <w:left w:val="none" w:sz="0" w:space="0" w:color="auto"/>
        <w:bottom w:val="none" w:sz="0" w:space="0" w:color="auto"/>
        <w:right w:val="none" w:sz="0" w:space="0" w:color="auto"/>
      </w:divBdr>
    </w:div>
    <w:div w:id="610284040">
      <w:bodyDiv w:val="1"/>
      <w:marLeft w:val="0"/>
      <w:marRight w:val="0"/>
      <w:marTop w:val="0"/>
      <w:marBottom w:val="0"/>
      <w:divBdr>
        <w:top w:val="none" w:sz="0" w:space="0" w:color="auto"/>
        <w:left w:val="none" w:sz="0" w:space="0" w:color="auto"/>
        <w:bottom w:val="none" w:sz="0" w:space="0" w:color="auto"/>
        <w:right w:val="none" w:sz="0" w:space="0" w:color="auto"/>
      </w:divBdr>
    </w:div>
    <w:div w:id="627274851">
      <w:bodyDiv w:val="1"/>
      <w:marLeft w:val="0"/>
      <w:marRight w:val="0"/>
      <w:marTop w:val="0"/>
      <w:marBottom w:val="0"/>
      <w:divBdr>
        <w:top w:val="none" w:sz="0" w:space="0" w:color="auto"/>
        <w:left w:val="none" w:sz="0" w:space="0" w:color="auto"/>
        <w:bottom w:val="none" w:sz="0" w:space="0" w:color="auto"/>
        <w:right w:val="none" w:sz="0" w:space="0" w:color="auto"/>
      </w:divBdr>
      <w:divsChild>
        <w:div w:id="1825702766">
          <w:marLeft w:val="0"/>
          <w:marRight w:val="0"/>
          <w:marTop w:val="0"/>
          <w:marBottom w:val="0"/>
          <w:divBdr>
            <w:top w:val="none" w:sz="0" w:space="0" w:color="auto"/>
            <w:left w:val="none" w:sz="0" w:space="0" w:color="auto"/>
            <w:bottom w:val="none" w:sz="0" w:space="0" w:color="auto"/>
            <w:right w:val="none" w:sz="0" w:space="0" w:color="auto"/>
          </w:divBdr>
          <w:divsChild>
            <w:div w:id="751389047">
              <w:marLeft w:val="0"/>
              <w:marRight w:val="0"/>
              <w:marTop w:val="0"/>
              <w:marBottom w:val="0"/>
              <w:divBdr>
                <w:top w:val="none" w:sz="0" w:space="0" w:color="auto"/>
                <w:left w:val="none" w:sz="0" w:space="0" w:color="auto"/>
                <w:bottom w:val="none" w:sz="0" w:space="0" w:color="auto"/>
                <w:right w:val="none" w:sz="0" w:space="0" w:color="auto"/>
              </w:divBdr>
              <w:divsChild>
                <w:div w:id="1883635803">
                  <w:marLeft w:val="0"/>
                  <w:marRight w:val="0"/>
                  <w:marTop w:val="0"/>
                  <w:marBottom w:val="0"/>
                  <w:divBdr>
                    <w:top w:val="none" w:sz="0" w:space="0" w:color="auto"/>
                    <w:left w:val="none" w:sz="0" w:space="0" w:color="auto"/>
                    <w:bottom w:val="none" w:sz="0" w:space="0" w:color="auto"/>
                    <w:right w:val="none" w:sz="0" w:space="0" w:color="auto"/>
                  </w:divBdr>
                  <w:divsChild>
                    <w:div w:id="86031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724017">
      <w:bodyDiv w:val="1"/>
      <w:marLeft w:val="0"/>
      <w:marRight w:val="0"/>
      <w:marTop w:val="0"/>
      <w:marBottom w:val="0"/>
      <w:divBdr>
        <w:top w:val="none" w:sz="0" w:space="0" w:color="auto"/>
        <w:left w:val="none" w:sz="0" w:space="0" w:color="auto"/>
        <w:bottom w:val="none" w:sz="0" w:space="0" w:color="auto"/>
        <w:right w:val="none" w:sz="0" w:space="0" w:color="auto"/>
      </w:divBdr>
    </w:div>
    <w:div w:id="645353530">
      <w:bodyDiv w:val="1"/>
      <w:marLeft w:val="0"/>
      <w:marRight w:val="0"/>
      <w:marTop w:val="0"/>
      <w:marBottom w:val="0"/>
      <w:divBdr>
        <w:top w:val="none" w:sz="0" w:space="0" w:color="auto"/>
        <w:left w:val="none" w:sz="0" w:space="0" w:color="auto"/>
        <w:bottom w:val="none" w:sz="0" w:space="0" w:color="auto"/>
        <w:right w:val="none" w:sz="0" w:space="0" w:color="auto"/>
      </w:divBdr>
    </w:div>
    <w:div w:id="648435079">
      <w:bodyDiv w:val="1"/>
      <w:marLeft w:val="0"/>
      <w:marRight w:val="0"/>
      <w:marTop w:val="0"/>
      <w:marBottom w:val="0"/>
      <w:divBdr>
        <w:top w:val="none" w:sz="0" w:space="0" w:color="auto"/>
        <w:left w:val="none" w:sz="0" w:space="0" w:color="auto"/>
        <w:bottom w:val="none" w:sz="0" w:space="0" w:color="auto"/>
        <w:right w:val="none" w:sz="0" w:space="0" w:color="auto"/>
      </w:divBdr>
    </w:div>
    <w:div w:id="667364674">
      <w:bodyDiv w:val="1"/>
      <w:marLeft w:val="0"/>
      <w:marRight w:val="0"/>
      <w:marTop w:val="0"/>
      <w:marBottom w:val="0"/>
      <w:divBdr>
        <w:top w:val="none" w:sz="0" w:space="0" w:color="auto"/>
        <w:left w:val="none" w:sz="0" w:space="0" w:color="auto"/>
        <w:bottom w:val="none" w:sz="0" w:space="0" w:color="auto"/>
        <w:right w:val="none" w:sz="0" w:space="0" w:color="auto"/>
      </w:divBdr>
    </w:div>
    <w:div w:id="673339049">
      <w:bodyDiv w:val="1"/>
      <w:marLeft w:val="0"/>
      <w:marRight w:val="0"/>
      <w:marTop w:val="0"/>
      <w:marBottom w:val="0"/>
      <w:divBdr>
        <w:top w:val="none" w:sz="0" w:space="0" w:color="auto"/>
        <w:left w:val="none" w:sz="0" w:space="0" w:color="auto"/>
        <w:bottom w:val="none" w:sz="0" w:space="0" w:color="auto"/>
        <w:right w:val="none" w:sz="0" w:space="0" w:color="auto"/>
      </w:divBdr>
    </w:div>
    <w:div w:id="721714218">
      <w:bodyDiv w:val="1"/>
      <w:marLeft w:val="0"/>
      <w:marRight w:val="0"/>
      <w:marTop w:val="0"/>
      <w:marBottom w:val="0"/>
      <w:divBdr>
        <w:top w:val="none" w:sz="0" w:space="0" w:color="auto"/>
        <w:left w:val="none" w:sz="0" w:space="0" w:color="auto"/>
        <w:bottom w:val="none" w:sz="0" w:space="0" w:color="auto"/>
        <w:right w:val="none" w:sz="0" w:space="0" w:color="auto"/>
      </w:divBdr>
      <w:divsChild>
        <w:div w:id="1219125496">
          <w:marLeft w:val="0"/>
          <w:marRight w:val="0"/>
          <w:marTop w:val="0"/>
          <w:marBottom w:val="0"/>
          <w:divBdr>
            <w:top w:val="none" w:sz="0" w:space="0" w:color="auto"/>
            <w:left w:val="none" w:sz="0" w:space="0" w:color="auto"/>
            <w:bottom w:val="none" w:sz="0" w:space="0" w:color="auto"/>
            <w:right w:val="none" w:sz="0" w:space="0" w:color="auto"/>
          </w:divBdr>
          <w:divsChild>
            <w:div w:id="1217738000">
              <w:marLeft w:val="0"/>
              <w:marRight w:val="0"/>
              <w:marTop w:val="0"/>
              <w:marBottom w:val="0"/>
              <w:divBdr>
                <w:top w:val="none" w:sz="0" w:space="0" w:color="auto"/>
                <w:left w:val="none" w:sz="0" w:space="0" w:color="auto"/>
                <w:bottom w:val="none" w:sz="0" w:space="0" w:color="auto"/>
                <w:right w:val="none" w:sz="0" w:space="0" w:color="auto"/>
              </w:divBdr>
              <w:divsChild>
                <w:div w:id="2938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930576">
      <w:bodyDiv w:val="1"/>
      <w:marLeft w:val="0"/>
      <w:marRight w:val="0"/>
      <w:marTop w:val="0"/>
      <w:marBottom w:val="0"/>
      <w:divBdr>
        <w:top w:val="none" w:sz="0" w:space="0" w:color="auto"/>
        <w:left w:val="none" w:sz="0" w:space="0" w:color="auto"/>
        <w:bottom w:val="none" w:sz="0" w:space="0" w:color="auto"/>
        <w:right w:val="none" w:sz="0" w:space="0" w:color="auto"/>
      </w:divBdr>
    </w:div>
    <w:div w:id="738985974">
      <w:bodyDiv w:val="1"/>
      <w:marLeft w:val="0"/>
      <w:marRight w:val="0"/>
      <w:marTop w:val="0"/>
      <w:marBottom w:val="0"/>
      <w:divBdr>
        <w:top w:val="none" w:sz="0" w:space="0" w:color="auto"/>
        <w:left w:val="none" w:sz="0" w:space="0" w:color="auto"/>
        <w:bottom w:val="none" w:sz="0" w:space="0" w:color="auto"/>
        <w:right w:val="none" w:sz="0" w:space="0" w:color="auto"/>
      </w:divBdr>
    </w:div>
    <w:div w:id="740753526">
      <w:bodyDiv w:val="1"/>
      <w:marLeft w:val="0"/>
      <w:marRight w:val="0"/>
      <w:marTop w:val="0"/>
      <w:marBottom w:val="0"/>
      <w:divBdr>
        <w:top w:val="none" w:sz="0" w:space="0" w:color="auto"/>
        <w:left w:val="none" w:sz="0" w:space="0" w:color="auto"/>
        <w:bottom w:val="none" w:sz="0" w:space="0" w:color="auto"/>
        <w:right w:val="none" w:sz="0" w:space="0" w:color="auto"/>
      </w:divBdr>
    </w:div>
    <w:div w:id="751925056">
      <w:bodyDiv w:val="1"/>
      <w:marLeft w:val="0"/>
      <w:marRight w:val="0"/>
      <w:marTop w:val="0"/>
      <w:marBottom w:val="0"/>
      <w:divBdr>
        <w:top w:val="none" w:sz="0" w:space="0" w:color="auto"/>
        <w:left w:val="none" w:sz="0" w:space="0" w:color="auto"/>
        <w:bottom w:val="none" w:sz="0" w:space="0" w:color="auto"/>
        <w:right w:val="none" w:sz="0" w:space="0" w:color="auto"/>
      </w:divBdr>
    </w:div>
    <w:div w:id="780539982">
      <w:bodyDiv w:val="1"/>
      <w:marLeft w:val="0"/>
      <w:marRight w:val="0"/>
      <w:marTop w:val="0"/>
      <w:marBottom w:val="0"/>
      <w:divBdr>
        <w:top w:val="none" w:sz="0" w:space="0" w:color="auto"/>
        <w:left w:val="none" w:sz="0" w:space="0" w:color="auto"/>
        <w:bottom w:val="none" w:sz="0" w:space="0" w:color="auto"/>
        <w:right w:val="none" w:sz="0" w:space="0" w:color="auto"/>
      </w:divBdr>
      <w:divsChild>
        <w:div w:id="125589238">
          <w:marLeft w:val="0"/>
          <w:marRight w:val="0"/>
          <w:marTop w:val="0"/>
          <w:marBottom w:val="0"/>
          <w:divBdr>
            <w:top w:val="none" w:sz="0" w:space="0" w:color="auto"/>
            <w:left w:val="none" w:sz="0" w:space="0" w:color="auto"/>
            <w:bottom w:val="none" w:sz="0" w:space="0" w:color="auto"/>
            <w:right w:val="none" w:sz="0" w:space="0" w:color="auto"/>
          </w:divBdr>
          <w:divsChild>
            <w:div w:id="829446164">
              <w:marLeft w:val="0"/>
              <w:marRight w:val="0"/>
              <w:marTop w:val="0"/>
              <w:marBottom w:val="0"/>
              <w:divBdr>
                <w:top w:val="none" w:sz="0" w:space="0" w:color="auto"/>
                <w:left w:val="none" w:sz="0" w:space="0" w:color="auto"/>
                <w:bottom w:val="none" w:sz="0" w:space="0" w:color="auto"/>
                <w:right w:val="none" w:sz="0" w:space="0" w:color="auto"/>
              </w:divBdr>
              <w:divsChild>
                <w:div w:id="1879581890">
                  <w:marLeft w:val="0"/>
                  <w:marRight w:val="0"/>
                  <w:marTop w:val="0"/>
                  <w:marBottom w:val="0"/>
                  <w:divBdr>
                    <w:top w:val="none" w:sz="0" w:space="0" w:color="auto"/>
                    <w:left w:val="none" w:sz="0" w:space="0" w:color="auto"/>
                    <w:bottom w:val="none" w:sz="0" w:space="0" w:color="auto"/>
                    <w:right w:val="none" w:sz="0" w:space="0" w:color="auto"/>
                  </w:divBdr>
                  <w:divsChild>
                    <w:div w:id="85400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4928857">
      <w:bodyDiv w:val="1"/>
      <w:marLeft w:val="0"/>
      <w:marRight w:val="0"/>
      <w:marTop w:val="0"/>
      <w:marBottom w:val="0"/>
      <w:divBdr>
        <w:top w:val="none" w:sz="0" w:space="0" w:color="auto"/>
        <w:left w:val="none" w:sz="0" w:space="0" w:color="auto"/>
        <w:bottom w:val="none" w:sz="0" w:space="0" w:color="auto"/>
        <w:right w:val="none" w:sz="0" w:space="0" w:color="auto"/>
      </w:divBdr>
    </w:div>
    <w:div w:id="787355316">
      <w:bodyDiv w:val="1"/>
      <w:marLeft w:val="0"/>
      <w:marRight w:val="0"/>
      <w:marTop w:val="0"/>
      <w:marBottom w:val="0"/>
      <w:divBdr>
        <w:top w:val="none" w:sz="0" w:space="0" w:color="auto"/>
        <w:left w:val="none" w:sz="0" w:space="0" w:color="auto"/>
        <w:bottom w:val="none" w:sz="0" w:space="0" w:color="auto"/>
        <w:right w:val="none" w:sz="0" w:space="0" w:color="auto"/>
      </w:divBdr>
    </w:div>
    <w:div w:id="791510728">
      <w:bodyDiv w:val="1"/>
      <w:marLeft w:val="0"/>
      <w:marRight w:val="0"/>
      <w:marTop w:val="0"/>
      <w:marBottom w:val="0"/>
      <w:divBdr>
        <w:top w:val="none" w:sz="0" w:space="0" w:color="auto"/>
        <w:left w:val="none" w:sz="0" w:space="0" w:color="auto"/>
        <w:bottom w:val="none" w:sz="0" w:space="0" w:color="auto"/>
        <w:right w:val="none" w:sz="0" w:space="0" w:color="auto"/>
      </w:divBdr>
    </w:div>
    <w:div w:id="795686167">
      <w:bodyDiv w:val="1"/>
      <w:marLeft w:val="0"/>
      <w:marRight w:val="0"/>
      <w:marTop w:val="0"/>
      <w:marBottom w:val="0"/>
      <w:divBdr>
        <w:top w:val="none" w:sz="0" w:space="0" w:color="auto"/>
        <w:left w:val="none" w:sz="0" w:space="0" w:color="auto"/>
        <w:bottom w:val="none" w:sz="0" w:space="0" w:color="auto"/>
        <w:right w:val="none" w:sz="0" w:space="0" w:color="auto"/>
      </w:divBdr>
    </w:div>
    <w:div w:id="812335251">
      <w:bodyDiv w:val="1"/>
      <w:marLeft w:val="0"/>
      <w:marRight w:val="0"/>
      <w:marTop w:val="0"/>
      <w:marBottom w:val="0"/>
      <w:divBdr>
        <w:top w:val="none" w:sz="0" w:space="0" w:color="auto"/>
        <w:left w:val="none" w:sz="0" w:space="0" w:color="auto"/>
        <w:bottom w:val="none" w:sz="0" w:space="0" w:color="auto"/>
        <w:right w:val="none" w:sz="0" w:space="0" w:color="auto"/>
      </w:divBdr>
    </w:div>
    <w:div w:id="835462484">
      <w:bodyDiv w:val="1"/>
      <w:marLeft w:val="0"/>
      <w:marRight w:val="0"/>
      <w:marTop w:val="0"/>
      <w:marBottom w:val="0"/>
      <w:divBdr>
        <w:top w:val="none" w:sz="0" w:space="0" w:color="auto"/>
        <w:left w:val="none" w:sz="0" w:space="0" w:color="auto"/>
        <w:bottom w:val="none" w:sz="0" w:space="0" w:color="auto"/>
        <w:right w:val="none" w:sz="0" w:space="0" w:color="auto"/>
      </w:divBdr>
    </w:div>
    <w:div w:id="845166377">
      <w:bodyDiv w:val="1"/>
      <w:marLeft w:val="0"/>
      <w:marRight w:val="0"/>
      <w:marTop w:val="0"/>
      <w:marBottom w:val="0"/>
      <w:divBdr>
        <w:top w:val="none" w:sz="0" w:space="0" w:color="auto"/>
        <w:left w:val="none" w:sz="0" w:space="0" w:color="auto"/>
        <w:bottom w:val="none" w:sz="0" w:space="0" w:color="auto"/>
        <w:right w:val="none" w:sz="0" w:space="0" w:color="auto"/>
      </w:divBdr>
    </w:div>
    <w:div w:id="899484645">
      <w:bodyDiv w:val="1"/>
      <w:marLeft w:val="0"/>
      <w:marRight w:val="0"/>
      <w:marTop w:val="0"/>
      <w:marBottom w:val="0"/>
      <w:divBdr>
        <w:top w:val="none" w:sz="0" w:space="0" w:color="auto"/>
        <w:left w:val="none" w:sz="0" w:space="0" w:color="auto"/>
        <w:bottom w:val="none" w:sz="0" w:space="0" w:color="auto"/>
        <w:right w:val="none" w:sz="0" w:space="0" w:color="auto"/>
      </w:divBdr>
    </w:div>
    <w:div w:id="903757877">
      <w:bodyDiv w:val="1"/>
      <w:marLeft w:val="0"/>
      <w:marRight w:val="0"/>
      <w:marTop w:val="0"/>
      <w:marBottom w:val="0"/>
      <w:divBdr>
        <w:top w:val="none" w:sz="0" w:space="0" w:color="auto"/>
        <w:left w:val="none" w:sz="0" w:space="0" w:color="auto"/>
        <w:bottom w:val="none" w:sz="0" w:space="0" w:color="auto"/>
        <w:right w:val="none" w:sz="0" w:space="0" w:color="auto"/>
      </w:divBdr>
    </w:div>
    <w:div w:id="907040083">
      <w:bodyDiv w:val="1"/>
      <w:marLeft w:val="0"/>
      <w:marRight w:val="0"/>
      <w:marTop w:val="0"/>
      <w:marBottom w:val="0"/>
      <w:divBdr>
        <w:top w:val="none" w:sz="0" w:space="0" w:color="auto"/>
        <w:left w:val="none" w:sz="0" w:space="0" w:color="auto"/>
        <w:bottom w:val="none" w:sz="0" w:space="0" w:color="auto"/>
        <w:right w:val="none" w:sz="0" w:space="0" w:color="auto"/>
      </w:divBdr>
    </w:div>
    <w:div w:id="932318843">
      <w:bodyDiv w:val="1"/>
      <w:marLeft w:val="0"/>
      <w:marRight w:val="0"/>
      <w:marTop w:val="0"/>
      <w:marBottom w:val="0"/>
      <w:divBdr>
        <w:top w:val="none" w:sz="0" w:space="0" w:color="auto"/>
        <w:left w:val="none" w:sz="0" w:space="0" w:color="auto"/>
        <w:bottom w:val="none" w:sz="0" w:space="0" w:color="auto"/>
        <w:right w:val="none" w:sz="0" w:space="0" w:color="auto"/>
      </w:divBdr>
    </w:div>
    <w:div w:id="940182542">
      <w:bodyDiv w:val="1"/>
      <w:marLeft w:val="0"/>
      <w:marRight w:val="0"/>
      <w:marTop w:val="0"/>
      <w:marBottom w:val="0"/>
      <w:divBdr>
        <w:top w:val="none" w:sz="0" w:space="0" w:color="auto"/>
        <w:left w:val="none" w:sz="0" w:space="0" w:color="auto"/>
        <w:bottom w:val="none" w:sz="0" w:space="0" w:color="auto"/>
        <w:right w:val="none" w:sz="0" w:space="0" w:color="auto"/>
      </w:divBdr>
    </w:div>
    <w:div w:id="968777884">
      <w:bodyDiv w:val="1"/>
      <w:marLeft w:val="0"/>
      <w:marRight w:val="0"/>
      <w:marTop w:val="0"/>
      <w:marBottom w:val="0"/>
      <w:divBdr>
        <w:top w:val="none" w:sz="0" w:space="0" w:color="auto"/>
        <w:left w:val="none" w:sz="0" w:space="0" w:color="auto"/>
        <w:bottom w:val="none" w:sz="0" w:space="0" w:color="auto"/>
        <w:right w:val="none" w:sz="0" w:space="0" w:color="auto"/>
      </w:divBdr>
    </w:div>
    <w:div w:id="980311867">
      <w:bodyDiv w:val="1"/>
      <w:marLeft w:val="0"/>
      <w:marRight w:val="0"/>
      <w:marTop w:val="0"/>
      <w:marBottom w:val="0"/>
      <w:divBdr>
        <w:top w:val="none" w:sz="0" w:space="0" w:color="auto"/>
        <w:left w:val="none" w:sz="0" w:space="0" w:color="auto"/>
        <w:bottom w:val="none" w:sz="0" w:space="0" w:color="auto"/>
        <w:right w:val="none" w:sz="0" w:space="0" w:color="auto"/>
      </w:divBdr>
    </w:div>
    <w:div w:id="981009733">
      <w:bodyDiv w:val="1"/>
      <w:marLeft w:val="0"/>
      <w:marRight w:val="0"/>
      <w:marTop w:val="0"/>
      <w:marBottom w:val="0"/>
      <w:divBdr>
        <w:top w:val="none" w:sz="0" w:space="0" w:color="auto"/>
        <w:left w:val="none" w:sz="0" w:space="0" w:color="auto"/>
        <w:bottom w:val="none" w:sz="0" w:space="0" w:color="auto"/>
        <w:right w:val="none" w:sz="0" w:space="0" w:color="auto"/>
      </w:divBdr>
    </w:div>
    <w:div w:id="1026442326">
      <w:bodyDiv w:val="1"/>
      <w:marLeft w:val="0"/>
      <w:marRight w:val="0"/>
      <w:marTop w:val="0"/>
      <w:marBottom w:val="0"/>
      <w:divBdr>
        <w:top w:val="none" w:sz="0" w:space="0" w:color="auto"/>
        <w:left w:val="none" w:sz="0" w:space="0" w:color="auto"/>
        <w:bottom w:val="none" w:sz="0" w:space="0" w:color="auto"/>
        <w:right w:val="none" w:sz="0" w:space="0" w:color="auto"/>
      </w:divBdr>
    </w:div>
    <w:div w:id="1088505428">
      <w:bodyDiv w:val="1"/>
      <w:marLeft w:val="0"/>
      <w:marRight w:val="0"/>
      <w:marTop w:val="0"/>
      <w:marBottom w:val="0"/>
      <w:divBdr>
        <w:top w:val="none" w:sz="0" w:space="0" w:color="auto"/>
        <w:left w:val="none" w:sz="0" w:space="0" w:color="auto"/>
        <w:bottom w:val="none" w:sz="0" w:space="0" w:color="auto"/>
        <w:right w:val="none" w:sz="0" w:space="0" w:color="auto"/>
      </w:divBdr>
    </w:div>
    <w:div w:id="1099064793">
      <w:bodyDiv w:val="1"/>
      <w:marLeft w:val="0"/>
      <w:marRight w:val="0"/>
      <w:marTop w:val="0"/>
      <w:marBottom w:val="0"/>
      <w:divBdr>
        <w:top w:val="none" w:sz="0" w:space="0" w:color="auto"/>
        <w:left w:val="none" w:sz="0" w:space="0" w:color="auto"/>
        <w:bottom w:val="none" w:sz="0" w:space="0" w:color="auto"/>
        <w:right w:val="none" w:sz="0" w:space="0" w:color="auto"/>
      </w:divBdr>
    </w:div>
    <w:div w:id="1122304137">
      <w:bodyDiv w:val="1"/>
      <w:marLeft w:val="0"/>
      <w:marRight w:val="0"/>
      <w:marTop w:val="0"/>
      <w:marBottom w:val="0"/>
      <w:divBdr>
        <w:top w:val="none" w:sz="0" w:space="0" w:color="auto"/>
        <w:left w:val="none" w:sz="0" w:space="0" w:color="auto"/>
        <w:bottom w:val="none" w:sz="0" w:space="0" w:color="auto"/>
        <w:right w:val="none" w:sz="0" w:space="0" w:color="auto"/>
      </w:divBdr>
    </w:div>
    <w:div w:id="1137721675">
      <w:bodyDiv w:val="1"/>
      <w:marLeft w:val="0"/>
      <w:marRight w:val="0"/>
      <w:marTop w:val="0"/>
      <w:marBottom w:val="0"/>
      <w:divBdr>
        <w:top w:val="none" w:sz="0" w:space="0" w:color="auto"/>
        <w:left w:val="none" w:sz="0" w:space="0" w:color="auto"/>
        <w:bottom w:val="none" w:sz="0" w:space="0" w:color="auto"/>
        <w:right w:val="none" w:sz="0" w:space="0" w:color="auto"/>
      </w:divBdr>
      <w:divsChild>
        <w:div w:id="1799492591">
          <w:marLeft w:val="0"/>
          <w:marRight w:val="0"/>
          <w:marTop w:val="0"/>
          <w:marBottom w:val="0"/>
          <w:divBdr>
            <w:top w:val="none" w:sz="0" w:space="0" w:color="auto"/>
            <w:left w:val="none" w:sz="0" w:space="0" w:color="auto"/>
            <w:bottom w:val="none" w:sz="0" w:space="0" w:color="auto"/>
            <w:right w:val="none" w:sz="0" w:space="0" w:color="auto"/>
          </w:divBdr>
          <w:divsChild>
            <w:div w:id="957755071">
              <w:marLeft w:val="0"/>
              <w:marRight w:val="0"/>
              <w:marTop w:val="0"/>
              <w:marBottom w:val="0"/>
              <w:divBdr>
                <w:top w:val="none" w:sz="0" w:space="0" w:color="auto"/>
                <w:left w:val="none" w:sz="0" w:space="0" w:color="auto"/>
                <w:bottom w:val="none" w:sz="0" w:space="0" w:color="auto"/>
                <w:right w:val="none" w:sz="0" w:space="0" w:color="auto"/>
              </w:divBdr>
              <w:divsChild>
                <w:div w:id="1619218709">
                  <w:marLeft w:val="0"/>
                  <w:marRight w:val="0"/>
                  <w:marTop w:val="0"/>
                  <w:marBottom w:val="0"/>
                  <w:divBdr>
                    <w:top w:val="none" w:sz="0" w:space="0" w:color="auto"/>
                    <w:left w:val="none" w:sz="0" w:space="0" w:color="auto"/>
                    <w:bottom w:val="none" w:sz="0" w:space="0" w:color="auto"/>
                    <w:right w:val="none" w:sz="0" w:space="0" w:color="auto"/>
                  </w:divBdr>
                  <w:divsChild>
                    <w:div w:id="10219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222063">
      <w:bodyDiv w:val="1"/>
      <w:marLeft w:val="0"/>
      <w:marRight w:val="0"/>
      <w:marTop w:val="0"/>
      <w:marBottom w:val="0"/>
      <w:divBdr>
        <w:top w:val="none" w:sz="0" w:space="0" w:color="auto"/>
        <w:left w:val="none" w:sz="0" w:space="0" w:color="auto"/>
        <w:bottom w:val="none" w:sz="0" w:space="0" w:color="auto"/>
        <w:right w:val="none" w:sz="0" w:space="0" w:color="auto"/>
      </w:divBdr>
    </w:div>
    <w:div w:id="1140153050">
      <w:bodyDiv w:val="1"/>
      <w:marLeft w:val="0"/>
      <w:marRight w:val="0"/>
      <w:marTop w:val="0"/>
      <w:marBottom w:val="0"/>
      <w:divBdr>
        <w:top w:val="none" w:sz="0" w:space="0" w:color="auto"/>
        <w:left w:val="none" w:sz="0" w:space="0" w:color="auto"/>
        <w:bottom w:val="none" w:sz="0" w:space="0" w:color="auto"/>
        <w:right w:val="none" w:sz="0" w:space="0" w:color="auto"/>
      </w:divBdr>
      <w:divsChild>
        <w:div w:id="743793382">
          <w:marLeft w:val="0"/>
          <w:marRight w:val="0"/>
          <w:marTop w:val="0"/>
          <w:marBottom w:val="0"/>
          <w:divBdr>
            <w:top w:val="none" w:sz="0" w:space="0" w:color="auto"/>
            <w:left w:val="none" w:sz="0" w:space="0" w:color="auto"/>
            <w:bottom w:val="none" w:sz="0" w:space="0" w:color="auto"/>
            <w:right w:val="none" w:sz="0" w:space="0" w:color="auto"/>
          </w:divBdr>
          <w:divsChild>
            <w:div w:id="255286056">
              <w:marLeft w:val="0"/>
              <w:marRight w:val="0"/>
              <w:marTop w:val="0"/>
              <w:marBottom w:val="0"/>
              <w:divBdr>
                <w:top w:val="none" w:sz="0" w:space="0" w:color="auto"/>
                <w:left w:val="none" w:sz="0" w:space="0" w:color="auto"/>
                <w:bottom w:val="none" w:sz="0" w:space="0" w:color="auto"/>
                <w:right w:val="none" w:sz="0" w:space="0" w:color="auto"/>
              </w:divBdr>
              <w:divsChild>
                <w:div w:id="647250282">
                  <w:marLeft w:val="0"/>
                  <w:marRight w:val="0"/>
                  <w:marTop w:val="0"/>
                  <w:marBottom w:val="0"/>
                  <w:divBdr>
                    <w:top w:val="none" w:sz="0" w:space="0" w:color="auto"/>
                    <w:left w:val="none" w:sz="0" w:space="0" w:color="auto"/>
                    <w:bottom w:val="none" w:sz="0" w:space="0" w:color="auto"/>
                    <w:right w:val="none" w:sz="0" w:space="0" w:color="auto"/>
                  </w:divBdr>
                  <w:divsChild>
                    <w:div w:id="32509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9562567">
      <w:bodyDiv w:val="1"/>
      <w:marLeft w:val="0"/>
      <w:marRight w:val="0"/>
      <w:marTop w:val="0"/>
      <w:marBottom w:val="0"/>
      <w:divBdr>
        <w:top w:val="none" w:sz="0" w:space="0" w:color="auto"/>
        <w:left w:val="none" w:sz="0" w:space="0" w:color="auto"/>
        <w:bottom w:val="none" w:sz="0" w:space="0" w:color="auto"/>
        <w:right w:val="none" w:sz="0" w:space="0" w:color="auto"/>
      </w:divBdr>
      <w:divsChild>
        <w:div w:id="206796577">
          <w:marLeft w:val="0"/>
          <w:marRight w:val="0"/>
          <w:marTop w:val="0"/>
          <w:marBottom w:val="0"/>
          <w:divBdr>
            <w:top w:val="none" w:sz="0" w:space="0" w:color="auto"/>
            <w:left w:val="none" w:sz="0" w:space="0" w:color="auto"/>
            <w:bottom w:val="none" w:sz="0" w:space="0" w:color="auto"/>
            <w:right w:val="none" w:sz="0" w:space="0" w:color="auto"/>
          </w:divBdr>
          <w:divsChild>
            <w:div w:id="1228951404">
              <w:marLeft w:val="0"/>
              <w:marRight w:val="0"/>
              <w:marTop w:val="0"/>
              <w:marBottom w:val="0"/>
              <w:divBdr>
                <w:top w:val="none" w:sz="0" w:space="0" w:color="auto"/>
                <w:left w:val="none" w:sz="0" w:space="0" w:color="auto"/>
                <w:bottom w:val="none" w:sz="0" w:space="0" w:color="auto"/>
                <w:right w:val="none" w:sz="0" w:space="0" w:color="auto"/>
              </w:divBdr>
              <w:divsChild>
                <w:div w:id="364985143">
                  <w:marLeft w:val="0"/>
                  <w:marRight w:val="0"/>
                  <w:marTop w:val="0"/>
                  <w:marBottom w:val="0"/>
                  <w:divBdr>
                    <w:top w:val="none" w:sz="0" w:space="0" w:color="auto"/>
                    <w:left w:val="none" w:sz="0" w:space="0" w:color="auto"/>
                    <w:bottom w:val="none" w:sz="0" w:space="0" w:color="auto"/>
                    <w:right w:val="none" w:sz="0" w:space="0" w:color="auto"/>
                  </w:divBdr>
                  <w:divsChild>
                    <w:div w:id="106765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930186">
      <w:bodyDiv w:val="1"/>
      <w:marLeft w:val="0"/>
      <w:marRight w:val="0"/>
      <w:marTop w:val="0"/>
      <w:marBottom w:val="0"/>
      <w:divBdr>
        <w:top w:val="none" w:sz="0" w:space="0" w:color="auto"/>
        <w:left w:val="none" w:sz="0" w:space="0" w:color="auto"/>
        <w:bottom w:val="none" w:sz="0" w:space="0" w:color="auto"/>
        <w:right w:val="none" w:sz="0" w:space="0" w:color="auto"/>
      </w:divBdr>
    </w:div>
    <w:div w:id="1180580181">
      <w:bodyDiv w:val="1"/>
      <w:marLeft w:val="0"/>
      <w:marRight w:val="0"/>
      <w:marTop w:val="0"/>
      <w:marBottom w:val="0"/>
      <w:divBdr>
        <w:top w:val="none" w:sz="0" w:space="0" w:color="auto"/>
        <w:left w:val="none" w:sz="0" w:space="0" w:color="auto"/>
        <w:bottom w:val="none" w:sz="0" w:space="0" w:color="auto"/>
        <w:right w:val="none" w:sz="0" w:space="0" w:color="auto"/>
      </w:divBdr>
      <w:divsChild>
        <w:div w:id="558324100">
          <w:marLeft w:val="0"/>
          <w:marRight w:val="0"/>
          <w:marTop w:val="0"/>
          <w:marBottom w:val="0"/>
          <w:divBdr>
            <w:top w:val="none" w:sz="0" w:space="0" w:color="auto"/>
            <w:left w:val="none" w:sz="0" w:space="0" w:color="auto"/>
            <w:bottom w:val="none" w:sz="0" w:space="0" w:color="auto"/>
            <w:right w:val="none" w:sz="0" w:space="0" w:color="auto"/>
          </w:divBdr>
          <w:divsChild>
            <w:div w:id="2105760658">
              <w:marLeft w:val="0"/>
              <w:marRight w:val="0"/>
              <w:marTop w:val="0"/>
              <w:marBottom w:val="0"/>
              <w:divBdr>
                <w:top w:val="none" w:sz="0" w:space="0" w:color="auto"/>
                <w:left w:val="none" w:sz="0" w:space="0" w:color="auto"/>
                <w:bottom w:val="none" w:sz="0" w:space="0" w:color="auto"/>
                <w:right w:val="none" w:sz="0" w:space="0" w:color="auto"/>
              </w:divBdr>
              <w:divsChild>
                <w:div w:id="1269972212">
                  <w:marLeft w:val="0"/>
                  <w:marRight w:val="0"/>
                  <w:marTop w:val="0"/>
                  <w:marBottom w:val="0"/>
                  <w:divBdr>
                    <w:top w:val="none" w:sz="0" w:space="0" w:color="auto"/>
                    <w:left w:val="none" w:sz="0" w:space="0" w:color="auto"/>
                    <w:bottom w:val="none" w:sz="0" w:space="0" w:color="auto"/>
                    <w:right w:val="none" w:sz="0" w:space="0" w:color="auto"/>
                  </w:divBdr>
                  <w:divsChild>
                    <w:div w:id="146273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625155">
      <w:bodyDiv w:val="1"/>
      <w:marLeft w:val="0"/>
      <w:marRight w:val="0"/>
      <w:marTop w:val="0"/>
      <w:marBottom w:val="0"/>
      <w:divBdr>
        <w:top w:val="none" w:sz="0" w:space="0" w:color="auto"/>
        <w:left w:val="none" w:sz="0" w:space="0" w:color="auto"/>
        <w:bottom w:val="none" w:sz="0" w:space="0" w:color="auto"/>
        <w:right w:val="none" w:sz="0" w:space="0" w:color="auto"/>
      </w:divBdr>
      <w:divsChild>
        <w:div w:id="1098404658">
          <w:marLeft w:val="0"/>
          <w:marRight w:val="0"/>
          <w:marTop w:val="0"/>
          <w:marBottom w:val="0"/>
          <w:divBdr>
            <w:top w:val="none" w:sz="0" w:space="0" w:color="auto"/>
            <w:left w:val="none" w:sz="0" w:space="0" w:color="auto"/>
            <w:bottom w:val="none" w:sz="0" w:space="0" w:color="auto"/>
            <w:right w:val="none" w:sz="0" w:space="0" w:color="auto"/>
          </w:divBdr>
          <w:divsChild>
            <w:div w:id="867794604">
              <w:marLeft w:val="0"/>
              <w:marRight w:val="0"/>
              <w:marTop w:val="0"/>
              <w:marBottom w:val="0"/>
              <w:divBdr>
                <w:top w:val="none" w:sz="0" w:space="0" w:color="auto"/>
                <w:left w:val="none" w:sz="0" w:space="0" w:color="auto"/>
                <w:bottom w:val="none" w:sz="0" w:space="0" w:color="auto"/>
                <w:right w:val="none" w:sz="0" w:space="0" w:color="auto"/>
              </w:divBdr>
              <w:divsChild>
                <w:div w:id="59652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941622">
      <w:bodyDiv w:val="1"/>
      <w:marLeft w:val="0"/>
      <w:marRight w:val="0"/>
      <w:marTop w:val="0"/>
      <w:marBottom w:val="0"/>
      <w:divBdr>
        <w:top w:val="none" w:sz="0" w:space="0" w:color="auto"/>
        <w:left w:val="none" w:sz="0" w:space="0" w:color="auto"/>
        <w:bottom w:val="none" w:sz="0" w:space="0" w:color="auto"/>
        <w:right w:val="none" w:sz="0" w:space="0" w:color="auto"/>
      </w:divBdr>
      <w:divsChild>
        <w:div w:id="265768173">
          <w:marLeft w:val="0"/>
          <w:marRight w:val="0"/>
          <w:marTop w:val="0"/>
          <w:marBottom w:val="0"/>
          <w:divBdr>
            <w:top w:val="none" w:sz="0" w:space="0" w:color="auto"/>
            <w:left w:val="none" w:sz="0" w:space="0" w:color="auto"/>
            <w:bottom w:val="none" w:sz="0" w:space="0" w:color="auto"/>
            <w:right w:val="none" w:sz="0" w:space="0" w:color="auto"/>
          </w:divBdr>
          <w:divsChild>
            <w:div w:id="501238943">
              <w:marLeft w:val="0"/>
              <w:marRight w:val="0"/>
              <w:marTop w:val="0"/>
              <w:marBottom w:val="0"/>
              <w:divBdr>
                <w:top w:val="none" w:sz="0" w:space="0" w:color="auto"/>
                <w:left w:val="none" w:sz="0" w:space="0" w:color="auto"/>
                <w:bottom w:val="none" w:sz="0" w:space="0" w:color="auto"/>
                <w:right w:val="none" w:sz="0" w:space="0" w:color="auto"/>
              </w:divBdr>
              <w:divsChild>
                <w:div w:id="56052575">
                  <w:marLeft w:val="0"/>
                  <w:marRight w:val="0"/>
                  <w:marTop w:val="0"/>
                  <w:marBottom w:val="0"/>
                  <w:divBdr>
                    <w:top w:val="none" w:sz="0" w:space="0" w:color="auto"/>
                    <w:left w:val="none" w:sz="0" w:space="0" w:color="auto"/>
                    <w:bottom w:val="none" w:sz="0" w:space="0" w:color="auto"/>
                    <w:right w:val="none" w:sz="0" w:space="0" w:color="auto"/>
                  </w:divBdr>
                  <w:divsChild>
                    <w:div w:id="89747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1385204">
      <w:bodyDiv w:val="1"/>
      <w:marLeft w:val="0"/>
      <w:marRight w:val="0"/>
      <w:marTop w:val="0"/>
      <w:marBottom w:val="0"/>
      <w:divBdr>
        <w:top w:val="none" w:sz="0" w:space="0" w:color="auto"/>
        <w:left w:val="none" w:sz="0" w:space="0" w:color="auto"/>
        <w:bottom w:val="none" w:sz="0" w:space="0" w:color="auto"/>
        <w:right w:val="none" w:sz="0" w:space="0" w:color="auto"/>
      </w:divBdr>
    </w:div>
    <w:div w:id="1220745832">
      <w:bodyDiv w:val="1"/>
      <w:marLeft w:val="0"/>
      <w:marRight w:val="0"/>
      <w:marTop w:val="0"/>
      <w:marBottom w:val="0"/>
      <w:divBdr>
        <w:top w:val="none" w:sz="0" w:space="0" w:color="auto"/>
        <w:left w:val="none" w:sz="0" w:space="0" w:color="auto"/>
        <w:bottom w:val="none" w:sz="0" w:space="0" w:color="auto"/>
        <w:right w:val="none" w:sz="0" w:space="0" w:color="auto"/>
      </w:divBdr>
    </w:div>
    <w:div w:id="1228494091">
      <w:bodyDiv w:val="1"/>
      <w:marLeft w:val="0"/>
      <w:marRight w:val="0"/>
      <w:marTop w:val="0"/>
      <w:marBottom w:val="0"/>
      <w:divBdr>
        <w:top w:val="none" w:sz="0" w:space="0" w:color="auto"/>
        <w:left w:val="none" w:sz="0" w:space="0" w:color="auto"/>
        <w:bottom w:val="none" w:sz="0" w:space="0" w:color="auto"/>
        <w:right w:val="none" w:sz="0" w:space="0" w:color="auto"/>
      </w:divBdr>
    </w:div>
    <w:div w:id="1303583470">
      <w:bodyDiv w:val="1"/>
      <w:marLeft w:val="0"/>
      <w:marRight w:val="0"/>
      <w:marTop w:val="0"/>
      <w:marBottom w:val="0"/>
      <w:divBdr>
        <w:top w:val="none" w:sz="0" w:space="0" w:color="auto"/>
        <w:left w:val="none" w:sz="0" w:space="0" w:color="auto"/>
        <w:bottom w:val="none" w:sz="0" w:space="0" w:color="auto"/>
        <w:right w:val="none" w:sz="0" w:space="0" w:color="auto"/>
      </w:divBdr>
    </w:div>
    <w:div w:id="1319069759">
      <w:bodyDiv w:val="1"/>
      <w:marLeft w:val="0"/>
      <w:marRight w:val="0"/>
      <w:marTop w:val="0"/>
      <w:marBottom w:val="0"/>
      <w:divBdr>
        <w:top w:val="none" w:sz="0" w:space="0" w:color="auto"/>
        <w:left w:val="none" w:sz="0" w:space="0" w:color="auto"/>
        <w:bottom w:val="none" w:sz="0" w:space="0" w:color="auto"/>
        <w:right w:val="none" w:sz="0" w:space="0" w:color="auto"/>
      </w:divBdr>
    </w:div>
    <w:div w:id="1319185508">
      <w:bodyDiv w:val="1"/>
      <w:marLeft w:val="0"/>
      <w:marRight w:val="0"/>
      <w:marTop w:val="0"/>
      <w:marBottom w:val="0"/>
      <w:divBdr>
        <w:top w:val="none" w:sz="0" w:space="0" w:color="auto"/>
        <w:left w:val="none" w:sz="0" w:space="0" w:color="auto"/>
        <w:bottom w:val="none" w:sz="0" w:space="0" w:color="auto"/>
        <w:right w:val="none" w:sz="0" w:space="0" w:color="auto"/>
      </w:divBdr>
    </w:div>
    <w:div w:id="1358390417">
      <w:bodyDiv w:val="1"/>
      <w:marLeft w:val="0"/>
      <w:marRight w:val="0"/>
      <w:marTop w:val="0"/>
      <w:marBottom w:val="0"/>
      <w:divBdr>
        <w:top w:val="none" w:sz="0" w:space="0" w:color="auto"/>
        <w:left w:val="none" w:sz="0" w:space="0" w:color="auto"/>
        <w:bottom w:val="none" w:sz="0" w:space="0" w:color="auto"/>
        <w:right w:val="none" w:sz="0" w:space="0" w:color="auto"/>
      </w:divBdr>
    </w:div>
    <w:div w:id="1384400657">
      <w:bodyDiv w:val="1"/>
      <w:marLeft w:val="0"/>
      <w:marRight w:val="0"/>
      <w:marTop w:val="0"/>
      <w:marBottom w:val="0"/>
      <w:divBdr>
        <w:top w:val="none" w:sz="0" w:space="0" w:color="auto"/>
        <w:left w:val="none" w:sz="0" w:space="0" w:color="auto"/>
        <w:bottom w:val="none" w:sz="0" w:space="0" w:color="auto"/>
        <w:right w:val="none" w:sz="0" w:space="0" w:color="auto"/>
      </w:divBdr>
    </w:div>
    <w:div w:id="1388608919">
      <w:bodyDiv w:val="1"/>
      <w:marLeft w:val="0"/>
      <w:marRight w:val="0"/>
      <w:marTop w:val="0"/>
      <w:marBottom w:val="0"/>
      <w:divBdr>
        <w:top w:val="none" w:sz="0" w:space="0" w:color="auto"/>
        <w:left w:val="none" w:sz="0" w:space="0" w:color="auto"/>
        <w:bottom w:val="none" w:sz="0" w:space="0" w:color="auto"/>
        <w:right w:val="none" w:sz="0" w:space="0" w:color="auto"/>
      </w:divBdr>
      <w:divsChild>
        <w:div w:id="1374309487">
          <w:marLeft w:val="0"/>
          <w:marRight w:val="0"/>
          <w:marTop w:val="0"/>
          <w:marBottom w:val="0"/>
          <w:divBdr>
            <w:top w:val="none" w:sz="0" w:space="0" w:color="auto"/>
            <w:left w:val="none" w:sz="0" w:space="0" w:color="auto"/>
            <w:bottom w:val="none" w:sz="0" w:space="0" w:color="auto"/>
            <w:right w:val="none" w:sz="0" w:space="0" w:color="auto"/>
          </w:divBdr>
          <w:divsChild>
            <w:div w:id="1169757838">
              <w:marLeft w:val="0"/>
              <w:marRight w:val="0"/>
              <w:marTop w:val="0"/>
              <w:marBottom w:val="0"/>
              <w:divBdr>
                <w:top w:val="none" w:sz="0" w:space="0" w:color="auto"/>
                <w:left w:val="none" w:sz="0" w:space="0" w:color="auto"/>
                <w:bottom w:val="none" w:sz="0" w:space="0" w:color="auto"/>
                <w:right w:val="none" w:sz="0" w:space="0" w:color="auto"/>
              </w:divBdr>
              <w:divsChild>
                <w:div w:id="2046711549">
                  <w:marLeft w:val="0"/>
                  <w:marRight w:val="0"/>
                  <w:marTop w:val="0"/>
                  <w:marBottom w:val="0"/>
                  <w:divBdr>
                    <w:top w:val="none" w:sz="0" w:space="0" w:color="auto"/>
                    <w:left w:val="none" w:sz="0" w:space="0" w:color="auto"/>
                    <w:bottom w:val="none" w:sz="0" w:space="0" w:color="auto"/>
                    <w:right w:val="none" w:sz="0" w:space="0" w:color="auto"/>
                  </w:divBdr>
                  <w:divsChild>
                    <w:div w:id="8600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7625706">
      <w:bodyDiv w:val="1"/>
      <w:marLeft w:val="0"/>
      <w:marRight w:val="0"/>
      <w:marTop w:val="0"/>
      <w:marBottom w:val="0"/>
      <w:divBdr>
        <w:top w:val="none" w:sz="0" w:space="0" w:color="auto"/>
        <w:left w:val="none" w:sz="0" w:space="0" w:color="auto"/>
        <w:bottom w:val="none" w:sz="0" w:space="0" w:color="auto"/>
        <w:right w:val="none" w:sz="0" w:space="0" w:color="auto"/>
      </w:divBdr>
    </w:div>
    <w:div w:id="1435248350">
      <w:bodyDiv w:val="1"/>
      <w:marLeft w:val="0"/>
      <w:marRight w:val="0"/>
      <w:marTop w:val="0"/>
      <w:marBottom w:val="0"/>
      <w:divBdr>
        <w:top w:val="none" w:sz="0" w:space="0" w:color="auto"/>
        <w:left w:val="none" w:sz="0" w:space="0" w:color="auto"/>
        <w:bottom w:val="none" w:sz="0" w:space="0" w:color="auto"/>
        <w:right w:val="none" w:sz="0" w:space="0" w:color="auto"/>
      </w:divBdr>
    </w:div>
    <w:div w:id="1476676680">
      <w:bodyDiv w:val="1"/>
      <w:marLeft w:val="0"/>
      <w:marRight w:val="0"/>
      <w:marTop w:val="0"/>
      <w:marBottom w:val="0"/>
      <w:divBdr>
        <w:top w:val="none" w:sz="0" w:space="0" w:color="auto"/>
        <w:left w:val="none" w:sz="0" w:space="0" w:color="auto"/>
        <w:bottom w:val="none" w:sz="0" w:space="0" w:color="auto"/>
        <w:right w:val="none" w:sz="0" w:space="0" w:color="auto"/>
      </w:divBdr>
    </w:div>
    <w:div w:id="1530728235">
      <w:bodyDiv w:val="1"/>
      <w:marLeft w:val="0"/>
      <w:marRight w:val="0"/>
      <w:marTop w:val="0"/>
      <w:marBottom w:val="0"/>
      <w:divBdr>
        <w:top w:val="none" w:sz="0" w:space="0" w:color="auto"/>
        <w:left w:val="none" w:sz="0" w:space="0" w:color="auto"/>
        <w:bottom w:val="none" w:sz="0" w:space="0" w:color="auto"/>
        <w:right w:val="none" w:sz="0" w:space="0" w:color="auto"/>
      </w:divBdr>
    </w:div>
    <w:div w:id="1555040083">
      <w:bodyDiv w:val="1"/>
      <w:marLeft w:val="0"/>
      <w:marRight w:val="0"/>
      <w:marTop w:val="0"/>
      <w:marBottom w:val="0"/>
      <w:divBdr>
        <w:top w:val="none" w:sz="0" w:space="0" w:color="auto"/>
        <w:left w:val="none" w:sz="0" w:space="0" w:color="auto"/>
        <w:bottom w:val="none" w:sz="0" w:space="0" w:color="auto"/>
        <w:right w:val="none" w:sz="0" w:space="0" w:color="auto"/>
      </w:divBdr>
      <w:divsChild>
        <w:div w:id="582765118">
          <w:marLeft w:val="0"/>
          <w:marRight w:val="0"/>
          <w:marTop w:val="0"/>
          <w:marBottom w:val="0"/>
          <w:divBdr>
            <w:top w:val="none" w:sz="0" w:space="0" w:color="auto"/>
            <w:left w:val="none" w:sz="0" w:space="0" w:color="auto"/>
            <w:bottom w:val="none" w:sz="0" w:space="0" w:color="auto"/>
            <w:right w:val="none" w:sz="0" w:space="0" w:color="auto"/>
          </w:divBdr>
          <w:divsChild>
            <w:div w:id="2050183505">
              <w:marLeft w:val="0"/>
              <w:marRight w:val="0"/>
              <w:marTop w:val="0"/>
              <w:marBottom w:val="0"/>
              <w:divBdr>
                <w:top w:val="none" w:sz="0" w:space="0" w:color="auto"/>
                <w:left w:val="none" w:sz="0" w:space="0" w:color="auto"/>
                <w:bottom w:val="none" w:sz="0" w:space="0" w:color="auto"/>
                <w:right w:val="none" w:sz="0" w:space="0" w:color="auto"/>
              </w:divBdr>
              <w:divsChild>
                <w:div w:id="188082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006682">
      <w:bodyDiv w:val="1"/>
      <w:marLeft w:val="0"/>
      <w:marRight w:val="0"/>
      <w:marTop w:val="0"/>
      <w:marBottom w:val="0"/>
      <w:divBdr>
        <w:top w:val="none" w:sz="0" w:space="0" w:color="auto"/>
        <w:left w:val="none" w:sz="0" w:space="0" w:color="auto"/>
        <w:bottom w:val="none" w:sz="0" w:space="0" w:color="auto"/>
        <w:right w:val="none" w:sz="0" w:space="0" w:color="auto"/>
      </w:divBdr>
    </w:div>
    <w:div w:id="1597861172">
      <w:bodyDiv w:val="1"/>
      <w:marLeft w:val="0"/>
      <w:marRight w:val="0"/>
      <w:marTop w:val="0"/>
      <w:marBottom w:val="0"/>
      <w:divBdr>
        <w:top w:val="none" w:sz="0" w:space="0" w:color="auto"/>
        <w:left w:val="none" w:sz="0" w:space="0" w:color="auto"/>
        <w:bottom w:val="none" w:sz="0" w:space="0" w:color="auto"/>
        <w:right w:val="none" w:sz="0" w:space="0" w:color="auto"/>
      </w:divBdr>
    </w:div>
    <w:div w:id="1611888855">
      <w:bodyDiv w:val="1"/>
      <w:marLeft w:val="0"/>
      <w:marRight w:val="0"/>
      <w:marTop w:val="0"/>
      <w:marBottom w:val="0"/>
      <w:divBdr>
        <w:top w:val="none" w:sz="0" w:space="0" w:color="auto"/>
        <w:left w:val="none" w:sz="0" w:space="0" w:color="auto"/>
        <w:bottom w:val="none" w:sz="0" w:space="0" w:color="auto"/>
        <w:right w:val="none" w:sz="0" w:space="0" w:color="auto"/>
      </w:divBdr>
    </w:div>
    <w:div w:id="1616668116">
      <w:bodyDiv w:val="1"/>
      <w:marLeft w:val="0"/>
      <w:marRight w:val="0"/>
      <w:marTop w:val="0"/>
      <w:marBottom w:val="0"/>
      <w:divBdr>
        <w:top w:val="none" w:sz="0" w:space="0" w:color="auto"/>
        <w:left w:val="none" w:sz="0" w:space="0" w:color="auto"/>
        <w:bottom w:val="none" w:sz="0" w:space="0" w:color="auto"/>
        <w:right w:val="none" w:sz="0" w:space="0" w:color="auto"/>
      </w:divBdr>
    </w:div>
    <w:div w:id="1617980962">
      <w:bodyDiv w:val="1"/>
      <w:marLeft w:val="0"/>
      <w:marRight w:val="0"/>
      <w:marTop w:val="0"/>
      <w:marBottom w:val="0"/>
      <w:divBdr>
        <w:top w:val="none" w:sz="0" w:space="0" w:color="auto"/>
        <w:left w:val="none" w:sz="0" w:space="0" w:color="auto"/>
        <w:bottom w:val="none" w:sz="0" w:space="0" w:color="auto"/>
        <w:right w:val="none" w:sz="0" w:space="0" w:color="auto"/>
      </w:divBdr>
      <w:divsChild>
        <w:div w:id="1791506652">
          <w:marLeft w:val="0"/>
          <w:marRight w:val="0"/>
          <w:marTop w:val="0"/>
          <w:marBottom w:val="0"/>
          <w:divBdr>
            <w:top w:val="none" w:sz="0" w:space="0" w:color="auto"/>
            <w:left w:val="none" w:sz="0" w:space="0" w:color="auto"/>
            <w:bottom w:val="none" w:sz="0" w:space="0" w:color="auto"/>
            <w:right w:val="none" w:sz="0" w:space="0" w:color="auto"/>
          </w:divBdr>
          <w:divsChild>
            <w:div w:id="1407529667">
              <w:marLeft w:val="0"/>
              <w:marRight w:val="0"/>
              <w:marTop w:val="0"/>
              <w:marBottom w:val="0"/>
              <w:divBdr>
                <w:top w:val="none" w:sz="0" w:space="0" w:color="auto"/>
                <w:left w:val="none" w:sz="0" w:space="0" w:color="auto"/>
                <w:bottom w:val="none" w:sz="0" w:space="0" w:color="auto"/>
                <w:right w:val="none" w:sz="0" w:space="0" w:color="auto"/>
              </w:divBdr>
              <w:divsChild>
                <w:div w:id="1537502781">
                  <w:marLeft w:val="0"/>
                  <w:marRight w:val="0"/>
                  <w:marTop w:val="0"/>
                  <w:marBottom w:val="0"/>
                  <w:divBdr>
                    <w:top w:val="none" w:sz="0" w:space="0" w:color="auto"/>
                    <w:left w:val="none" w:sz="0" w:space="0" w:color="auto"/>
                    <w:bottom w:val="none" w:sz="0" w:space="0" w:color="auto"/>
                    <w:right w:val="none" w:sz="0" w:space="0" w:color="auto"/>
                  </w:divBdr>
                  <w:divsChild>
                    <w:div w:id="158075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310827">
      <w:bodyDiv w:val="1"/>
      <w:marLeft w:val="0"/>
      <w:marRight w:val="0"/>
      <w:marTop w:val="0"/>
      <w:marBottom w:val="0"/>
      <w:divBdr>
        <w:top w:val="none" w:sz="0" w:space="0" w:color="auto"/>
        <w:left w:val="none" w:sz="0" w:space="0" w:color="auto"/>
        <w:bottom w:val="none" w:sz="0" w:space="0" w:color="auto"/>
        <w:right w:val="none" w:sz="0" w:space="0" w:color="auto"/>
      </w:divBdr>
      <w:divsChild>
        <w:div w:id="1849756018">
          <w:marLeft w:val="0"/>
          <w:marRight w:val="0"/>
          <w:marTop w:val="0"/>
          <w:marBottom w:val="0"/>
          <w:divBdr>
            <w:top w:val="none" w:sz="0" w:space="0" w:color="auto"/>
            <w:left w:val="none" w:sz="0" w:space="0" w:color="auto"/>
            <w:bottom w:val="none" w:sz="0" w:space="0" w:color="auto"/>
            <w:right w:val="none" w:sz="0" w:space="0" w:color="auto"/>
          </w:divBdr>
          <w:divsChild>
            <w:div w:id="1698773432">
              <w:marLeft w:val="0"/>
              <w:marRight w:val="0"/>
              <w:marTop w:val="0"/>
              <w:marBottom w:val="0"/>
              <w:divBdr>
                <w:top w:val="none" w:sz="0" w:space="0" w:color="auto"/>
                <w:left w:val="none" w:sz="0" w:space="0" w:color="auto"/>
                <w:bottom w:val="none" w:sz="0" w:space="0" w:color="auto"/>
                <w:right w:val="none" w:sz="0" w:space="0" w:color="auto"/>
              </w:divBdr>
              <w:divsChild>
                <w:div w:id="103403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517645">
      <w:bodyDiv w:val="1"/>
      <w:marLeft w:val="0"/>
      <w:marRight w:val="0"/>
      <w:marTop w:val="0"/>
      <w:marBottom w:val="0"/>
      <w:divBdr>
        <w:top w:val="none" w:sz="0" w:space="0" w:color="auto"/>
        <w:left w:val="none" w:sz="0" w:space="0" w:color="auto"/>
        <w:bottom w:val="none" w:sz="0" w:space="0" w:color="auto"/>
        <w:right w:val="none" w:sz="0" w:space="0" w:color="auto"/>
      </w:divBdr>
    </w:div>
    <w:div w:id="1741712933">
      <w:bodyDiv w:val="1"/>
      <w:marLeft w:val="0"/>
      <w:marRight w:val="0"/>
      <w:marTop w:val="0"/>
      <w:marBottom w:val="0"/>
      <w:divBdr>
        <w:top w:val="none" w:sz="0" w:space="0" w:color="auto"/>
        <w:left w:val="none" w:sz="0" w:space="0" w:color="auto"/>
        <w:bottom w:val="none" w:sz="0" w:space="0" w:color="auto"/>
        <w:right w:val="none" w:sz="0" w:space="0" w:color="auto"/>
      </w:divBdr>
    </w:div>
    <w:div w:id="1780444821">
      <w:bodyDiv w:val="1"/>
      <w:marLeft w:val="0"/>
      <w:marRight w:val="0"/>
      <w:marTop w:val="0"/>
      <w:marBottom w:val="0"/>
      <w:divBdr>
        <w:top w:val="none" w:sz="0" w:space="0" w:color="auto"/>
        <w:left w:val="none" w:sz="0" w:space="0" w:color="auto"/>
        <w:bottom w:val="none" w:sz="0" w:space="0" w:color="auto"/>
        <w:right w:val="none" w:sz="0" w:space="0" w:color="auto"/>
      </w:divBdr>
    </w:div>
    <w:div w:id="1788617972">
      <w:bodyDiv w:val="1"/>
      <w:marLeft w:val="0"/>
      <w:marRight w:val="0"/>
      <w:marTop w:val="0"/>
      <w:marBottom w:val="0"/>
      <w:divBdr>
        <w:top w:val="none" w:sz="0" w:space="0" w:color="auto"/>
        <w:left w:val="none" w:sz="0" w:space="0" w:color="auto"/>
        <w:bottom w:val="none" w:sz="0" w:space="0" w:color="auto"/>
        <w:right w:val="none" w:sz="0" w:space="0" w:color="auto"/>
      </w:divBdr>
    </w:div>
    <w:div w:id="1816294480">
      <w:bodyDiv w:val="1"/>
      <w:marLeft w:val="0"/>
      <w:marRight w:val="0"/>
      <w:marTop w:val="0"/>
      <w:marBottom w:val="0"/>
      <w:divBdr>
        <w:top w:val="none" w:sz="0" w:space="0" w:color="auto"/>
        <w:left w:val="none" w:sz="0" w:space="0" w:color="auto"/>
        <w:bottom w:val="none" w:sz="0" w:space="0" w:color="auto"/>
        <w:right w:val="none" w:sz="0" w:space="0" w:color="auto"/>
      </w:divBdr>
    </w:div>
    <w:div w:id="1818914947">
      <w:bodyDiv w:val="1"/>
      <w:marLeft w:val="0"/>
      <w:marRight w:val="0"/>
      <w:marTop w:val="0"/>
      <w:marBottom w:val="0"/>
      <w:divBdr>
        <w:top w:val="none" w:sz="0" w:space="0" w:color="auto"/>
        <w:left w:val="none" w:sz="0" w:space="0" w:color="auto"/>
        <w:bottom w:val="none" w:sz="0" w:space="0" w:color="auto"/>
        <w:right w:val="none" w:sz="0" w:space="0" w:color="auto"/>
      </w:divBdr>
    </w:div>
    <w:div w:id="1827353269">
      <w:bodyDiv w:val="1"/>
      <w:marLeft w:val="0"/>
      <w:marRight w:val="0"/>
      <w:marTop w:val="0"/>
      <w:marBottom w:val="0"/>
      <w:divBdr>
        <w:top w:val="none" w:sz="0" w:space="0" w:color="auto"/>
        <w:left w:val="none" w:sz="0" w:space="0" w:color="auto"/>
        <w:bottom w:val="none" w:sz="0" w:space="0" w:color="auto"/>
        <w:right w:val="none" w:sz="0" w:space="0" w:color="auto"/>
      </w:divBdr>
    </w:div>
    <w:div w:id="1880042993">
      <w:bodyDiv w:val="1"/>
      <w:marLeft w:val="0"/>
      <w:marRight w:val="0"/>
      <w:marTop w:val="0"/>
      <w:marBottom w:val="0"/>
      <w:divBdr>
        <w:top w:val="none" w:sz="0" w:space="0" w:color="auto"/>
        <w:left w:val="none" w:sz="0" w:space="0" w:color="auto"/>
        <w:bottom w:val="none" w:sz="0" w:space="0" w:color="auto"/>
        <w:right w:val="none" w:sz="0" w:space="0" w:color="auto"/>
      </w:divBdr>
    </w:div>
    <w:div w:id="1918973691">
      <w:bodyDiv w:val="1"/>
      <w:marLeft w:val="0"/>
      <w:marRight w:val="0"/>
      <w:marTop w:val="0"/>
      <w:marBottom w:val="0"/>
      <w:divBdr>
        <w:top w:val="none" w:sz="0" w:space="0" w:color="auto"/>
        <w:left w:val="none" w:sz="0" w:space="0" w:color="auto"/>
        <w:bottom w:val="none" w:sz="0" w:space="0" w:color="auto"/>
        <w:right w:val="none" w:sz="0" w:space="0" w:color="auto"/>
      </w:divBdr>
    </w:div>
    <w:div w:id="1956018405">
      <w:bodyDiv w:val="1"/>
      <w:marLeft w:val="0"/>
      <w:marRight w:val="0"/>
      <w:marTop w:val="0"/>
      <w:marBottom w:val="0"/>
      <w:divBdr>
        <w:top w:val="none" w:sz="0" w:space="0" w:color="auto"/>
        <w:left w:val="none" w:sz="0" w:space="0" w:color="auto"/>
        <w:bottom w:val="none" w:sz="0" w:space="0" w:color="auto"/>
        <w:right w:val="none" w:sz="0" w:space="0" w:color="auto"/>
      </w:divBdr>
    </w:div>
    <w:div w:id="1964538641">
      <w:bodyDiv w:val="1"/>
      <w:marLeft w:val="0"/>
      <w:marRight w:val="0"/>
      <w:marTop w:val="0"/>
      <w:marBottom w:val="0"/>
      <w:divBdr>
        <w:top w:val="none" w:sz="0" w:space="0" w:color="auto"/>
        <w:left w:val="none" w:sz="0" w:space="0" w:color="auto"/>
        <w:bottom w:val="none" w:sz="0" w:space="0" w:color="auto"/>
        <w:right w:val="none" w:sz="0" w:space="0" w:color="auto"/>
      </w:divBdr>
    </w:div>
    <w:div w:id="1970083500">
      <w:bodyDiv w:val="1"/>
      <w:marLeft w:val="0"/>
      <w:marRight w:val="0"/>
      <w:marTop w:val="0"/>
      <w:marBottom w:val="0"/>
      <w:divBdr>
        <w:top w:val="none" w:sz="0" w:space="0" w:color="auto"/>
        <w:left w:val="none" w:sz="0" w:space="0" w:color="auto"/>
        <w:bottom w:val="none" w:sz="0" w:space="0" w:color="auto"/>
        <w:right w:val="none" w:sz="0" w:space="0" w:color="auto"/>
      </w:divBdr>
    </w:div>
    <w:div w:id="1974093027">
      <w:bodyDiv w:val="1"/>
      <w:marLeft w:val="0"/>
      <w:marRight w:val="0"/>
      <w:marTop w:val="0"/>
      <w:marBottom w:val="0"/>
      <w:divBdr>
        <w:top w:val="none" w:sz="0" w:space="0" w:color="auto"/>
        <w:left w:val="none" w:sz="0" w:space="0" w:color="auto"/>
        <w:bottom w:val="none" w:sz="0" w:space="0" w:color="auto"/>
        <w:right w:val="none" w:sz="0" w:space="0" w:color="auto"/>
      </w:divBdr>
    </w:div>
    <w:div w:id="1981377117">
      <w:bodyDiv w:val="1"/>
      <w:marLeft w:val="0"/>
      <w:marRight w:val="0"/>
      <w:marTop w:val="0"/>
      <w:marBottom w:val="0"/>
      <w:divBdr>
        <w:top w:val="none" w:sz="0" w:space="0" w:color="auto"/>
        <w:left w:val="none" w:sz="0" w:space="0" w:color="auto"/>
        <w:bottom w:val="none" w:sz="0" w:space="0" w:color="auto"/>
        <w:right w:val="none" w:sz="0" w:space="0" w:color="auto"/>
      </w:divBdr>
    </w:div>
    <w:div w:id="2000647016">
      <w:bodyDiv w:val="1"/>
      <w:marLeft w:val="0"/>
      <w:marRight w:val="0"/>
      <w:marTop w:val="0"/>
      <w:marBottom w:val="0"/>
      <w:divBdr>
        <w:top w:val="none" w:sz="0" w:space="0" w:color="auto"/>
        <w:left w:val="none" w:sz="0" w:space="0" w:color="auto"/>
        <w:bottom w:val="none" w:sz="0" w:space="0" w:color="auto"/>
        <w:right w:val="none" w:sz="0" w:space="0" w:color="auto"/>
      </w:divBdr>
    </w:div>
    <w:div w:id="2010212030">
      <w:bodyDiv w:val="1"/>
      <w:marLeft w:val="0"/>
      <w:marRight w:val="0"/>
      <w:marTop w:val="0"/>
      <w:marBottom w:val="0"/>
      <w:divBdr>
        <w:top w:val="none" w:sz="0" w:space="0" w:color="auto"/>
        <w:left w:val="none" w:sz="0" w:space="0" w:color="auto"/>
        <w:bottom w:val="none" w:sz="0" w:space="0" w:color="auto"/>
        <w:right w:val="none" w:sz="0" w:space="0" w:color="auto"/>
      </w:divBdr>
    </w:div>
    <w:div w:id="2011256290">
      <w:bodyDiv w:val="1"/>
      <w:marLeft w:val="0"/>
      <w:marRight w:val="0"/>
      <w:marTop w:val="0"/>
      <w:marBottom w:val="0"/>
      <w:divBdr>
        <w:top w:val="none" w:sz="0" w:space="0" w:color="auto"/>
        <w:left w:val="none" w:sz="0" w:space="0" w:color="auto"/>
        <w:bottom w:val="none" w:sz="0" w:space="0" w:color="auto"/>
        <w:right w:val="none" w:sz="0" w:space="0" w:color="auto"/>
      </w:divBdr>
    </w:div>
    <w:div w:id="2031224933">
      <w:bodyDiv w:val="1"/>
      <w:marLeft w:val="0"/>
      <w:marRight w:val="0"/>
      <w:marTop w:val="0"/>
      <w:marBottom w:val="0"/>
      <w:divBdr>
        <w:top w:val="none" w:sz="0" w:space="0" w:color="auto"/>
        <w:left w:val="none" w:sz="0" w:space="0" w:color="auto"/>
        <w:bottom w:val="none" w:sz="0" w:space="0" w:color="auto"/>
        <w:right w:val="none" w:sz="0" w:space="0" w:color="auto"/>
      </w:divBdr>
    </w:div>
    <w:div w:id="2047172608">
      <w:bodyDiv w:val="1"/>
      <w:marLeft w:val="0"/>
      <w:marRight w:val="0"/>
      <w:marTop w:val="0"/>
      <w:marBottom w:val="0"/>
      <w:divBdr>
        <w:top w:val="none" w:sz="0" w:space="0" w:color="auto"/>
        <w:left w:val="none" w:sz="0" w:space="0" w:color="auto"/>
        <w:bottom w:val="none" w:sz="0" w:space="0" w:color="auto"/>
        <w:right w:val="none" w:sz="0" w:space="0" w:color="auto"/>
      </w:divBdr>
    </w:div>
    <w:div w:id="2097632203">
      <w:bodyDiv w:val="1"/>
      <w:marLeft w:val="0"/>
      <w:marRight w:val="0"/>
      <w:marTop w:val="0"/>
      <w:marBottom w:val="0"/>
      <w:divBdr>
        <w:top w:val="none" w:sz="0" w:space="0" w:color="auto"/>
        <w:left w:val="none" w:sz="0" w:space="0" w:color="auto"/>
        <w:bottom w:val="none" w:sz="0" w:space="0" w:color="auto"/>
        <w:right w:val="none" w:sz="0" w:space="0" w:color="auto"/>
      </w:divBdr>
    </w:div>
    <w:div w:id="2108962036">
      <w:bodyDiv w:val="1"/>
      <w:marLeft w:val="0"/>
      <w:marRight w:val="0"/>
      <w:marTop w:val="0"/>
      <w:marBottom w:val="0"/>
      <w:divBdr>
        <w:top w:val="none" w:sz="0" w:space="0" w:color="auto"/>
        <w:left w:val="none" w:sz="0" w:space="0" w:color="auto"/>
        <w:bottom w:val="none" w:sz="0" w:space="0" w:color="auto"/>
        <w:right w:val="none" w:sz="0" w:space="0" w:color="auto"/>
      </w:divBdr>
    </w:div>
    <w:div w:id="2125542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s>
</file>

<file path=word/_rels/footnotes.xml.rels><?xml version="1.0" encoding="UTF-8" standalone="yes"?>
<Relationships xmlns="http://schemas.openxmlformats.org/package/2006/relationships"><Relationship Id="rId1" Type="http://schemas.openxmlformats.org/officeDocument/2006/relationships/hyperlink" Target="https://www.virginiaredistricting.org/map.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50</Pages>
  <Words>7674</Words>
  <Characters>42978</Characters>
  <Application>Microsoft Office Word</Application>
  <DocSecurity>0</DocSecurity>
  <Lines>693</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Armstrong</dc:creator>
  <cp:keywords/>
  <dc:description/>
  <cp:lastModifiedBy>Emma Armstrong</cp:lastModifiedBy>
  <cp:revision>2</cp:revision>
  <dcterms:created xsi:type="dcterms:W3CDTF">2022-04-04T14:52:00Z</dcterms:created>
  <dcterms:modified xsi:type="dcterms:W3CDTF">2022-04-04T14:52:00Z</dcterms:modified>
</cp:coreProperties>
</file>