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61459" w14:textId="7623E6A7" w:rsidR="0081090A" w:rsidRPr="00F53B3C" w:rsidRDefault="003721DB">
      <w:pPr>
        <w:jc w:val="center"/>
        <w:rPr>
          <w:rFonts w:ascii="Montserrat" w:eastAsia="Montserrat" w:hAnsi="Montserrat" w:cs="Montserrat"/>
          <w:i/>
          <w:sz w:val="44"/>
          <w:szCs w:val="44"/>
        </w:rPr>
      </w:pPr>
      <w:bookmarkStart w:id="0" w:name="_Hlk91756298"/>
      <w:r w:rsidRPr="00F53B3C">
        <w:rPr>
          <w:rFonts w:ascii="Montserrat" w:eastAsia="Montserrat" w:hAnsi="Montserrat" w:cs="Montserrat"/>
          <w:sz w:val="44"/>
          <w:szCs w:val="44"/>
        </w:rPr>
        <w:t xml:space="preserve"> Good Government Congressional Plan</w:t>
      </w:r>
    </w:p>
    <w:p w14:paraId="08275109" w14:textId="10FAF203" w:rsidR="0081090A" w:rsidRPr="00F53B3C" w:rsidRDefault="003721DB">
      <w:pPr>
        <w:jc w:val="center"/>
        <w:rPr>
          <w:rFonts w:ascii="Montserrat" w:eastAsia="Montserrat" w:hAnsi="Montserrat" w:cs="Montserrat"/>
          <w:b/>
          <w:bCs/>
          <w:sz w:val="30"/>
          <w:szCs w:val="30"/>
        </w:rPr>
      </w:pPr>
      <w:r>
        <w:rPr>
          <w:rFonts w:ascii="Montserrat" w:eastAsia="Montserrat" w:hAnsi="Montserrat" w:cs="Montserrat"/>
          <w:sz w:val="30"/>
          <w:szCs w:val="30"/>
        </w:rPr>
        <w:t>Arizona</w:t>
      </w:r>
    </w:p>
    <w:p w14:paraId="675C6A4F" w14:textId="09C576A0" w:rsidR="0081090A" w:rsidRDefault="0081090A">
      <w:pPr>
        <w:jc w:val="center"/>
        <w:rPr>
          <w:rFonts w:ascii="Times New Roman" w:eastAsia="Times New Roman" w:hAnsi="Times New Roman" w:cs="Times New Roman"/>
          <w:sz w:val="24"/>
          <w:szCs w:val="24"/>
        </w:rPr>
      </w:pPr>
    </w:p>
    <w:p w14:paraId="5F6740B3" w14:textId="1C58956E" w:rsidR="0081090A" w:rsidRDefault="0081090A">
      <w:pPr>
        <w:jc w:val="center"/>
        <w:rPr>
          <w:rFonts w:ascii="Times New Roman" w:eastAsia="Times New Roman" w:hAnsi="Times New Roman" w:cs="Times New Roman"/>
          <w:sz w:val="24"/>
          <w:szCs w:val="24"/>
        </w:rPr>
      </w:pPr>
    </w:p>
    <w:p w14:paraId="1729F15D" w14:textId="0D695E27" w:rsidR="0081090A" w:rsidRDefault="000522C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114300" distB="114300" distL="114300" distR="114300" simplePos="0" relativeHeight="251659776" behindDoc="1" locked="0" layoutInCell="1" hidden="0" allowOverlap="1" wp14:anchorId="0EDC40D6" wp14:editId="6131E679">
            <wp:simplePos x="0" y="0"/>
            <wp:positionH relativeFrom="margin">
              <wp:posOffset>662940</wp:posOffset>
            </wp:positionH>
            <wp:positionV relativeFrom="margin">
              <wp:posOffset>1066800</wp:posOffset>
            </wp:positionV>
            <wp:extent cx="4227830" cy="5577840"/>
            <wp:effectExtent l="0" t="0" r="0" b="0"/>
            <wp:wrapSquare wrapText="bothSides"/>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3535" r="3030"/>
                    <a:stretch>
                      <a:fillRect/>
                    </a:stretch>
                  </pic:blipFill>
                  <pic:spPr>
                    <a:xfrm>
                      <a:off x="0" y="0"/>
                      <a:ext cx="4227830" cy="5577840"/>
                    </a:xfrm>
                    <a:prstGeom prst="rect">
                      <a:avLst/>
                    </a:prstGeom>
                    <a:ln/>
                  </pic:spPr>
                </pic:pic>
              </a:graphicData>
            </a:graphic>
            <wp14:sizeRelH relativeFrom="margin">
              <wp14:pctWidth>0</wp14:pctWidth>
            </wp14:sizeRelH>
            <wp14:sizeRelV relativeFrom="margin">
              <wp14:pctHeight>0</wp14:pctHeight>
            </wp14:sizeRelV>
          </wp:anchor>
        </w:drawing>
      </w:r>
    </w:p>
    <w:p w14:paraId="3F1D4A90" w14:textId="4E363985" w:rsidR="0081090A" w:rsidRDefault="0081090A">
      <w:pPr>
        <w:jc w:val="center"/>
        <w:rPr>
          <w:rFonts w:ascii="Times New Roman" w:eastAsia="Times New Roman" w:hAnsi="Times New Roman" w:cs="Times New Roman"/>
          <w:sz w:val="24"/>
          <w:szCs w:val="24"/>
        </w:rPr>
      </w:pPr>
    </w:p>
    <w:p w14:paraId="61C23E9E" w14:textId="137E1002" w:rsidR="0081090A" w:rsidRDefault="0081090A">
      <w:pPr>
        <w:jc w:val="center"/>
        <w:rPr>
          <w:rFonts w:ascii="Times New Roman" w:eastAsia="Times New Roman" w:hAnsi="Times New Roman" w:cs="Times New Roman"/>
          <w:sz w:val="24"/>
          <w:szCs w:val="24"/>
        </w:rPr>
      </w:pPr>
    </w:p>
    <w:p w14:paraId="73E91819" w14:textId="77777777" w:rsidR="0081090A" w:rsidRDefault="0081090A">
      <w:pPr>
        <w:jc w:val="center"/>
        <w:rPr>
          <w:rFonts w:ascii="Times New Roman" w:eastAsia="Times New Roman" w:hAnsi="Times New Roman" w:cs="Times New Roman"/>
          <w:sz w:val="24"/>
          <w:szCs w:val="24"/>
        </w:rPr>
      </w:pPr>
    </w:p>
    <w:p w14:paraId="504E7C14" w14:textId="77777777" w:rsidR="0081090A" w:rsidRDefault="0081090A">
      <w:pPr>
        <w:jc w:val="center"/>
        <w:rPr>
          <w:rFonts w:ascii="Times New Roman" w:eastAsia="Times New Roman" w:hAnsi="Times New Roman" w:cs="Times New Roman"/>
          <w:sz w:val="24"/>
          <w:szCs w:val="24"/>
        </w:rPr>
      </w:pPr>
    </w:p>
    <w:p w14:paraId="6DFAF4FD" w14:textId="77777777" w:rsidR="0081090A" w:rsidRDefault="0081090A">
      <w:pPr>
        <w:jc w:val="center"/>
        <w:rPr>
          <w:rFonts w:ascii="Times New Roman" w:eastAsia="Times New Roman" w:hAnsi="Times New Roman" w:cs="Times New Roman"/>
          <w:sz w:val="24"/>
          <w:szCs w:val="24"/>
        </w:rPr>
      </w:pPr>
    </w:p>
    <w:p w14:paraId="4F957310" w14:textId="77777777" w:rsidR="0081090A" w:rsidRDefault="0081090A">
      <w:pPr>
        <w:jc w:val="center"/>
        <w:rPr>
          <w:rFonts w:ascii="Times New Roman" w:eastAsia="Times New Roman" w:hAnsi="Times New Roman" w:cs="Times New Roman"/>
          <w:sz w:val="24"/>
          <w:szCs w:val="24"/>
        </w:rPr>
      </w:pPr>
    </w:p>
    <w:p w14:paraId="336C0F0B" w14:textId="77777777" w:rsidR="0081090A" w:rsidRDefault="0081090A">
      <w:pPr>
        <w:jc w:val="center"/>
        <w:rPr>
          <w:rFonts w:ascii="Times New Roman" w:eastAsia="Times New Roman" w:hAnsi="Times New Roman" w:cs="Times New Roman"/>
          <w:sz w:val="24"/>
          <w:szCs w:val="24"/>
        </w:rPr>
      </w:pPr>
    </w:p>
    <w:p w14:paraId="5389F7DB" w14:textId="77777777" w:rsidR="0081090A" w:rsidRDefault="0081090A">
      <w:pPr>
        <w:jc w:val="center"/>
        <w:rPr>
          <w:rFonts w:ascii="Times New Roman" w:eastAsia="Times New Roman" w:hAnsi="Times New Roman" w:cs="Times New Roman"/>
          <w:sz w:val="24"/>
          <w:szCs w:val="24"/>
        </w:rPr>
      </w:pPr>
    </w:p>
    <w:p w14:paraId="6EF664BF" w14:textId="77777777" w:rsidR="0081090A" w:rsidRDefault="0081090A">
      <w:pPr>
        <w:jc w:val="center"/>
        <w:rPr>
          <w:rFonts w:ascii="Times New Roman" w:eastAsia="Times New Roman" w:hAnsi="Times New Roman" w:cs="Times New Roman"/>
          <w:sz w:val="24"/>
          <w:szCs w:val="24"/>
        </w:rPr>
      </w:pPr>
    </w:p>
    <w:p w14:paraId="7D83EB91" w14:textId="77777777" w:rsidR="0081090A" w:rsidRDefault="0081090A">
      <w:pPr>
        <w:jc w:val="center"/>
        <w:rPr>
          <w:rFonts w:ascii="Times New Roman" w:eastAsia="Times New Roman" w:hAnsi="Times New Roman" w:cs="Times New Roman"/>
          <w:sz w:val="24"/>
          <w:szCs w:val="24"/>
        </w:rPr>
      </w:pPr>
    </w:p>
    <w:p w14:paraId="48F1275D" w14:textId="77777777" w:rsidR="0081090A" w:rsidRDefault="0081090A">
      <w:pPr>
        <w:jc w:val="center"/>
        <w:rPr>
          <w:rFonts w:ascii="Times New Roman" w:eastAsia="Times New Roman" w:hAnsi="Times New Roman" w:cs="Times New Roman"/>
          <w:sz w:val="24"/>
          <w:szCs w:val="24"/>
        </w:rPr>
      </w:pPr>
    </w:p>
    <w:p w14:paraId="66800734" w14:textId="77777777" w:rsidR="0081090A" w:rsidRDefault="0081090A">
      <w:pPr>
        <w:jc w:val="center"/>
        <w:rPr>
          <w:rFonts w:ascii="Times New Roman" w:eastAsia="Times New Roman" w:hAnsi="Times New Roman" w:cs="Times New Roman"/>
          <w:sz w:val="24"/>
          <w:szCs w:val="24"/>
        </w:rPr>
      </w:pPr>
    </w:p>
    <w:p w14:paraId="58A14FB9" w14:textId="77777777" w:rsidR="0081090A" w:rsidRDefault="0081090A">
      <w:pPr>
        <w:jc w:val="center"/>
        <w:rPr>
          <w:rFonts w:ascii="Times New Roman" w:eastAsia="Times New Roman" w:hAnsi="Times New Roman" w:cs="Times New Roman"/>
          <w:sz w:val="24"/>
          <w:szCs w:val="24"/>
        </w:rPr>
      </w:pPr>
    </w:p>
    <w:p w14:paraId="3F7C5362" w14:textId="77777777" w:rsidR="0081090A" w:rsidRDefault="0081090A">
      <w:pPr>
        <w:jc w:val="center"/>
        <w:rPr>
          <w:rFonts w:ascii="Times New Roman" w:eastAsia="Times New Roman" w:hAnsi="Times New Roman" w:cs="Times New Roman"/>
          <w:sz w:val="24"/>
          <w:szCs w:val="24"/>
        </w:rPr>
      </w:pPr>
    </w:p>
    <w:p w14:paraId="1F97B503" w14:textId="77777777" w:rsidR="0081090A" w:rsidRDefault="0081090A">
      <w:pPr>
        <w:jc w:val="center"/>
        <w:rPr>
          <w:rFonts w:ascii="Times New Roman" w:eastAsia="Times New Roman" w:hAnsi="Times New Roman" w:cs="Times New Roman"/>
          <w:sz w:val="24"/>
          <w:szCs w:val="24"/>
        </w:rPr>
      </w:pPr>
    </w:p>
    <w:p w14:paraId="1A0808D6" w14:textId="77777777" w:rsidR="0081090A" w:rsidRDefault="0081090A">
      <w:pPr>
        <w:jc w:val="center"/>
        <w:rPr>
          <w:rFonts w:ascii="Times New Roman" w:eastAsia="Times New Roman" w:hAnsi="Times New Roman" w:cs="Times New Roman"/>
          <w:sz w:val="24"/>
          <w:szCs w:val="24"/>
        </w:rPr>
      </w:pPr>
    </w:p>
    <w:p w14:paraId="4147BDED" w14:textId="77777777" w:rsidR="0081090A" w:rsidRDefault="0081090A">
      <w:pPr>
        <w:jc w:val="center"/>
        <w:rPr>
          <w:rFonts w:ascii="Times New Roman" w:eastAsia="Times New Roman" w:hAnsi="Times New Roman" w:cs="Times New Roman"/>
          <w:sz w:val="24"/>
          <w:szCs w:val="24"/>
        </w:rPr>
      </w:pPr>
    </w:p>
    <w:p w14:paraId="784E122C" w14:textId="77777777" w:rsidR="0081090A" w:rsidRDefault="0081090A">
      <w:pPr>
        <w:jc w:val="center"/>
        <w:rPr>
          <w:rFonts w:ascii="Times New Roman" w:eastAsia="Times New Roman" w:hAnsi="Times New Roman" w:cs="Times New Roman"/>
          <w:sz w:val="24"/>
          <w:szCs w:val="24"/>
        </w:rPr>
      </w:pPr>
    </w:p>
    <w:p w14:paraId="661C2375" w14:textId="77777777" w:rsidR="0081090A" w:rsidRDefault="0081090A">
      <w:pPr>
        <w:jc w:val="center"/>
        <w:rPr>
          <w:rFonts w:ascii="Times New Roman" w:eastAsia="Times New Roman" w:hAnsi="Times New Roman" w:cs="Times New Roman"/>
          <w:sz w:val="24"/>
          <w:szCs w:val="24"/>
        </w:rPr>
      </w:pPr>
    </w:p>
    <w:p w14:paraId="60893AE9" w14:textId="77777777" w:rsidR="0081090A" w:rsidRDefault="0081090A">
      <w:pPr>
        <w:rPr>
          <w:rFonts w:ascii="Times New Roman" w:eastAsia="Times New Roman" w:hAnsi="Times New Roman" w:cs="Times New Roman"/>
          <w:sz w:val="24"/>
          <w:szCs w:val="24"/>
        </w:rPr>
      </w:pPr>
    </w:p>
    <w:p w14:paraId="0BA5DCB5" w14:textId="77777777" w:rsidR="0081090A" w:rsidRDefault="0081090A">
      <w:pPr>
        <w:rPr>
          <w:rFonts w:ascii="Times New Roman" w:eastAsia="Times New Roman" w:hAnsi="Times New Roman" w:cs="Times New Roman"/>
          <w:sz w:val="24"/>
          <w:szCs w:val="24"/>
        </w:rPr>
      </w:pPr>
    </w:p>
    <w:p w14:paraId="7510B9FB" w14:textId="77777777" w:rsidR="0081090A" w:rsidRDefault="0081090A">
      <w:pPr>
        <w:jc w:val="center"/>
        <w:rPr>
          <w:rFonts w:ascii="Times New Roman" w:eastAsia="Times New Roman" w:hAnsi="Times New Roman" w:cs="Times New Roman"/>
          <w:sz w:val="24"/>
          <w:szCs w:val="24"/>
        </w:rPr>
      </w:pPr>
    </w:p>
    <w:p w14:paraId="1DBBD529" w14:textId="77777777" w:rsidR="0081090A" w:rsidRDefault="0081090A">
      <w:pPr>
        <w:jc w:val="center"/>
        <w:rPr>
          <w:rFonts w:ascii="Times New Roman" w:eastAsia="Times New Roman" w:hAnsi="Times New Roman" w:cs="Times New Roman"/>
          <w:sz w:val="24"/>
          <w:szCs w:val="24"/>
        </w:rPr>
      </w:pPr>
    </w:p>
    <w:p w14:paraId="49ED4CDA" w14:textId="77777777" w:rsidR="0081090A" w:rsidRDefault="0081090A">
      <w:pPr>
        <w:jc w:val="center"/>
        <w:rPr>
          <w:rFonts w:ascii="Times New Roman" w:eastAsia="Times New Roman" w:hAnsi="Times New Roman" w:cs="Times New Roman"/>
          <w:sz w:val="24"/>
          <w:szCs w:val="24"/>
        </w:rPr>
      </w:pPr>
    </w:p>
    <w:p w14:paraId="2FAA218F" w14:textId="77777777" w:rsidR="0081090A" w:rsidRDefault="0081090A">
      <w:pPr>
        <w:jc w:val="center"/>
        <w:rPr>
          <w:rFonts w:ascii="Times New Roman" w:eastAsia="Times New Roman" w:hAnsi="Times New Roman" w:cs="Times New Roman"/>
          <w:sz w:val="24"/>
          <w:szCs w:val="24"/>
        </w:rPr>
      </w:pPr>
    </w:p>
    <w:p w14:paraId="2CD6470A" w14:textId="77777777" w:rsidR="0081090A" w:rsidRDefault="0081090A">
      <w:pPr>
        <w:jc w:val="center"/>
        <w:rPr>
          <w:rFonts w:ascii="Times New Roman" w:eastAsia="Times New Roman" w:hAnsi="Times New Roman" w:cs="Times New Roman"/>
          <w:sz w:val="24"/>
          <w:szCs w:val="24"/>
        </w:rPr>
      </w:pPr>
    </w:p>
    <w:p w14:paraId="3370072D" w14:textId="77777777" w:rsidR="0081090A" w:rsidRDefault="0081090A">
      <w:pPr>
        <w:jc w:val="center"/>
        <w:rPr>
          <w:rFonts w:ascii="Times New Roman" w:eastAsia="Times New Roman" w:hAnsi="Times New Roman" w:cs="Times New Roman"/>
          <w:sz w:val="24"/>
          <w:szCs w:val="24"/>
        </w:rPr>
      </w:pPr>
    </w:p>
    <w:p w14:paraId="53E6266A" w14:textId="77777777" w:rsidR="0011675F" w:rsidRDefault="0011675F">
      <w:pPr>
        <w:jc w:val="center"/>
        <w:rPr>
          <w:rFonts w:ascii="Montserrat Medium" w:eastAsia="Montserrat Medium" w:hAnsi="Montserrat Medium" w:cs="Montserrat Medium"/>
          <w:sz w:val="24"/>
          <w:szCs w:val="24"/>
        </w:rPr>
      </w:pPr>
    </w:p>
    <w:p w14:paraId="4D03F488" w14:textId="77777777" w:rsidR="000522C6" w:rsidRDefault="000522C6">
      <w:pPr>
        <w:jc w:val="center"/>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Policy Practicum: Draw Congress, Stanford Redistricting Project</w:t>
      </w:r>
    </w:p>
    <w:p w14:paraId="51EF0A13" w14:textId="5A625CAF" w:rsidR="000522C6" w:rsidRDefault="000522C6" w:rsidP="000522C6">
      <w:pPr>
        <w:jc w:val="center"/>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Professor Nathaniel Persily, Fall 2021, Submitted Jan. 15, 2022</w:t>
      </w:r>
      <w:r w:rsidRPr="000522C6">
        <w:rPr>
          <w:rFonts w:ascii="Montserrat Medium" w:eastAsia="Montserrat Medium" w:hAnsi="Montserrat Medium" w:cs="Montserrat Medium"/>
          <w:sz w:val="24"/>
          <w:szCs w:val="24"/>
        </w:rPr>
        <w:t xml:space="preserve"> </w:t>
      </w:r>
    </w:p>
    <w:p w14:paraId="0A8A80FE" w14:textId="77777777" w:rsidR="000522C6" w:rsidRDefault="000522C6" w:rsidP="000522C6">
      <w:pPr>
        <w:jc w:val="center"/>
        <w:rPr>
          <w:rFonts w:ascii="Montserrat Medium" w:eastAsia="Montserrat Medium" w:hAnsi="Montserrat Medium" w:cs="Montserrat Medium"/>
          <w:sz w:val="24"/>
          <w:szCs w:val="24"/>
        </w:rPr>
      </w:pPr>
    </w:p>
    <w:p w14:paraId="5D2379DA" w14:textId="2B114E21" w:rsidR="000522C6" w:rsidRDefault="000522C6" w:rsidP="000522C6">
      <w:pPr>
        <w:jc w:val="center"/>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Amir Wright</w:t>
      </w:r>
    </w:p>
    <w:p w14:paraId="35067D68" w14:textId="77777777" w:rsidR="000522C6" w:rsidRDefault="000522C6" w:rsidP="000522C6">
      <w:pPr>
        <w:jc w:val="center"/>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Stanford Law School</w:t>
      </w:r>
    </w:p>
    <w:p w14:paraId="20EAC5A7" w14:textId="5B3515A2" w:rsidR="000522C6" w:rsidRPr="000522C6" w:rsidRDefault="000522C6" w:rsidP="000522C6">
      <w:pPr>
        <w:jc w:val="center"/>
      </w:pPr>
      <w:r>
        <w:rPr>
          <w:rFonts w:ascii="Montserrat Medium" w:eastAsia="Montserrat Medium" w:hAnsi="Montserrat Medium" w:cs="Montserrat Medium"/>
          <w:sz w:val="24"/>
          <w:szCs w:val="24"/>
        </w:rPr>
        <w:t>J.D. Candidate, 2023</w:t>
      </w:r>
    </w:p>
    <w:bookmarkEnd w:id="0"/>
    <w:p w14:paraId="01DD8293" w14:textId="1EE5AF6C" w:rsidR="0081090A" w:rsidRPr="00F76E3C" w:rsidRDefault="002C5548" w:rsidP="00F76E3C">
      <w:pPr>
        <w:rPr>
          <w:sz w:val="24"/>
          <w:szCs w:val="24"/>
        </w:rPr>
      </w:pPr>
      <w:r>
        <w:rPr>
          <w:noProof/>
        </w:rPr>
        <w:lastRenderedPageBreak/>
        <w:pict w14:anchorId="21AE9520">
          <v:group id="Group 1" o:spid="_x0000_s1026" style="position:absolute;margin-left:241.5pt;margin-top:255pt;width:125.25pt;height:244pt;z-index:251662848;mso-wrap-distance-top:9pt;mso-wrap-distance-bottom:9pt;mso-position-horizontal-relative:page;mso-position-vertical-relative:page" coordorigin="980,10783" coordsize="18822,3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">
            <v:shapetype id="_x0000_t32" coordsize="21600,21600" o:spt="32" o:oned="t" path="m,l21600,21600e" filled="f">
              <v:path arrowok="t" fillok="f" o:connecttype="none"/>
              <o:lock v:ext="edit" shapetype="t"/>
            </v:shapetype>
            <v:shape id="Straight Arrow Connector 2" o:spid="_x0000_s1027" type="#_x0000_t32" style="position:absolute;left:16763;top:10783;width:3039;height:229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"/>
            <v:rect id="Rectangle 3" o:spid="_x0000_s1028" style="position:absolute;left:980;top:33721;width:15783;height:1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" filled="f">
              <v:stroke startarrowwidth="narrow" startarrowlength="short" endarrowwidth="narrow" endarrowlength="short" joinstyle="round"/>
              <v:textbox inset="2.53958mm,2.53958mm,2.53958mm,2.53958mm">
                <w:txbxContent>
                  <w:p w14:paraId="405A85E8" w14:textId="77777777" w:rsidR="0081090A" w:rsidRDefault="0081090A">
                    <w:pPr>
                      <w:spacing w:line="240" w:lineRule="auto"/>
                      <w:textDirection w:val="btLr"/>
                    </w:pPr>
                  </w:p>
                </w:txbxContent>
              </v:textbox>
            </v:rect>
            <w10:wrap anchorx="page" anchory="page"/>
          </v:group>
        </w:pict>
      </w:r>
      <w:r w:rsidR="003721DB">
        <w:rPr>
          <w:rFonts w:ascii="Times New Roman" w:eastAsia="Times New Roman" w:hAnsi="Times New Roman" w:cs="Times New Roman"/>
          <w:b/>
          <w:noProof/>
          <w:sz w:val="24"/>
          <w:szCs w:val="24"/>
        </w:rPr>
        <w:drawing>
          <wp:anchor distT="114300" distB="114300" distL="114300" distR="114300" simplePos="0" relativeHeight="251653632" behindDoc="0" locked="0" layoutInCell="1" hidden="0" allowOverlap="1" wp14:anchorId="68805004" wp14:editId="1D8A8B17">
            <wp:simplePos x="0" y="0"/>
            <wp:positionH relativeFrom="page">
              <wp:posOffset>4657725</wp:posOffset>
            </wp:positionH>
            <wp:positionV relativeFrom="page">
              <wp:posOffset>1123950</wp:posOffset>
            </wp:positionV>
            <wp:extent cx="2200640" cy="2109788"/>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00640" cy="2109788"/>
                    </a:xfrm>
                    <a:prstGeom prst="rect">
                      <a:avLst/>
                    </a:prstGeom>
                    <a:ln/>
                  </pic:spPr>
                </pic:pic>
              </a:graphicData>
            </a:graphic>
          </wp:anchor>
        </w:drawing>
      </w:r>
      <w:r w:rsidR="00990365">
        <w:rPr>
          <w:rFonts w:ascii="Times New Roman" w:eastAsia="Times New Roman" w:hAnsi="Times New Roman" w:cs="Times New Roman"/>
          <w:b/>
          <w:sz w:val="24"/>
          <w:szCs w:val="24"/>
        </w:rPr>
        <w:t xml:space="preserve">The State of </w:t>
      </w:r>
      <w:r w:rsidR="003721DB">
        <w:rPr>
          <w:rFonts w:ascii="Times New Roman" w:eastAsia="Times New Roman" w:hAnsi="Times New Roman" w:cs="Times New Roman"/>
          <w:b/>
          <w:sz w:val="24"/>
          <w:szCs w:val="24"/>
        </w:rPr>
        <w:t>Arizona</w:t>
      </w:r>
      <w:r w:rsidR="003721DB">
        <w:rPr>
          <w:noProof/>
        </w:rPr>
        <w:drawing>
          <wp:anchor distT="114300" distB="114300" distL="114300" distR="114300" simplePos="0" relativeHeight="251652608" behindDoc="0" locked="0" layoutInCell="1" hidden="0" allowOverlap="1" wp14:anchorId="6706AF78" wp14:editId="45066988">
            <wp:simplePos x="0" y="0"/>
            <wp:positionH relativeFrom="column">
              <wp:posOffset>-352424</wp:posOffset>
            </wp:positionH>
            <wp:positionV relativeFrom="paragraph">
              <wp:posOffset>371475</wp:posOffset>
            </wp:positionV>
            <wp:extent cx="6779365" cy="7858125"/>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797" b="2797"/>
                    <a:stretch>
                      <a:fillRect/>
                    </a:stretch>
                  </pic:blipFill>
                  <pic:spPr>
                    <a:xfrm>
                      <a:off x="0" y="0"/>
                      <a:ext cx="6779365" cy="7858125"/>
                    </a:xfrm>
                    <a:prstGeom prst="rect">
                      <a:avLst/>
                    </a:prstGeom>
                    <a:ln/>
                  </pic:spPr>
                </pic:pic>
              </a:graphicData>
            </a:graphic>
          </wp:anchor>
        </w:drawing>
      </w:r>
      <w:r w:rsidR="00990365">
        <w:rPr>
          <w:rFonts w:ascii="Times New Roman" w:eastAsia="Times New Roman" w:hAnsi="Times New Roman" w:cs="Times New Roman"/>
          <w:b/>
          <w:sz w:val="24"/>
          <w:szCs w:val="24"/>
        </w:rPr>
        <w:t xml:space="preserve"> – Proposed Plan</w:t>
      </w:r>
    </w:p>
    <w:p w14:paraId="5F8729C1" w14:textId="72EE101F" w:rsidR="007D780E" w:rsidRPr="007D780E" w:rsidRDefault="003721DB" w:rsidP="007D780E">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Overview</w:t>
      </w:r>
    </w:p>
    <w:p w14:paraId="5CEA7EFE" w14:textId="267059A0" w:rsidR="00612639" w:rsidRDefault="003721DB" w:rsidP="00612639">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Congressional districts in Arizona are drawn by a five-member independent commission that was created by a ballot initiative in 2000.</w:t>
      </w:r>
      <w:r w:rsidR="00F76E3C">
        <w:rPr>
          <w:rStyle w:val="FootnoteReference"/>
          <w:rFonts w:ascii="Times New Roman" w:eastAsia="Times New Roman" w:hAnsi="Times New Roman" w:cs="Times New Roman"/>
          <w:sz w:val="24"/>
          <w:szCs w:val="24"/>
        </w:rPr>
        <w:footnoteReference w:id="1"/>
      </w:r>
      <w:r w:rsidR="00612639" w:rsidRPr="0077686C">
        <w:rPr>
          <w:rFonts w:ascii="Times New Roman" w:eastAsia="Times New Roman" w:hAnsi="Times New Roman" w:cs="Times New Roman"/>
          <w:sz w:val="24"/>
          <w:szCs w:val="24"/>
        </w:rPr>
        <w:t xml:space="preserve"> </w:t>
      </w:r>
      <w:r w:rsidR="00612639">
        <w:rPr>
          <w:rFonts w:ascii="Times New Roman" w:eastAsia="Times New Roman" w:hAnsi="Times New Roman" w:cs="Times New Roman"/>
          <w:sz w:val="24"/>
          <w:szCs w:val="24"/>
        </w:rPr>
        <w:t xml:space="preserve">In adopting the initiative, Arizona voters </w:t>
      </w:r>
      <w:r w:rsidR="00612639" w:rsidRPr="0077686C">
        <w:rPr>
          <w:rFonts w:ascii="Times New Roman" w:eastAsia="Times New Roman" w:hAnsi="Times New Roman" w:cs="Times New Roman"/>
          <w:sz w:val="24"/>
          <w:szCs w:val="24"/>
        </w:rPr>
        <w:t>shifted the responsibility away from the state</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legislature. In 2012, the Arizona Legislature filed suit</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 xml:space="preserve">against the </w:t>
      </w:r>
      <w:r w:rsidR="00612639">
        <w:rPr>
          <w:rFonts w:ascii="Times New Roman" w:eastAsia="Times New Roman" w:hAnsi="Times New Roman" w:cs="Times New Roman"/>
          <w:sz w:val="24"/>
          <w:szCs w:val="24"/>
        </w:rPr>
        <w:t>Arizona Independent Redistricting Commission (AIRC)</w:t>
      </w:r>
      <w:r w:rsidR="00612639" w:rsidRPr="0077686C">
        <w:rPr>
          <w:rFonts w:ascii="Times New Roman" w:eastAsia="Times New Roman" w:hAnsi="Times New Roman" w:cs="Times New Roman"/>
          <w:sz w:val="24"/>
          <w:szCs w:val="24"/>
        </w:rPr>
        <w:t>, claiming that giving the AIRC, instead</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of the state legislature, responsibility to draw the state’s</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redistricting maps violated the Elections Clause of the</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U</w:t>
      </w:r>
      <w:r w:rsidR="00612639">
        <w:rPr>
          <w:rFonts w:ascii="Times New Roman" w:eastAsia="Times New Roman" w:hAnsi="Times New Roman" w:cs="Times New Roman"/>
          <w:sz w:val="24"/>
          <w:szCs w:val="24"/>
        </w:rPr>
        <w:t>nited States</w:t>
      </w:r>
      <w:r w:rsidR="00612639" w:rsidRPr="0077686C">
        <w:rPr>
          <w:rFonts w:ascii="Times New Roman" w:eastAsia="Times New Roman" w:hAnsi="Times New Roman" w:cs="Times New Roman"/>
          <w:sz w:val="24"/>
          <w:szCs w:val="24"/>
        </w:rPr>
        <w:t xml:space="preserve"> Constitution.</w:t>
      </w:r>
      <w:r w:rsidR="00612639">
        <w:rPr>
          <w:rFonts w:ascii="Times New Roman" w:eastAsia="Times New Roman" w:hAnsi="Times New Roman" w:cs="Times New Roman"/>
          <w:sz w:val="24"/>
          <w:szCs w:val="24"/>
          <w:vertAlign w:val="superscript"/>
        </w:rPr>
        <w:footnoteReference w:id="2"/>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 xml:space="preserve">In 2015, the Supreme Court considered </w:t>
      </w:r>
      <w:r w:rsidR="00612639" w:rsidRPr="00A75608">
        <w:rPr>
          <w:rFonts w:ascii="Times New Roman" w:eastAsia="Times New Roman" w:hAnsi="Times New Roman" w:cs="Times New Roman"/>
          <w:i/>
          <w:iCs/>
          <w:sz w:val="24"/>
          <w:szCs w:val="24"/>
        </w:rPr>
        <w:t>Arizona State Legislature v. Arizona Independent Redistricting Commission</w:t>
      </w:r>
      <w:r w:rsidR="00612639" w:rsidRPr="0077686C">
        <w:rPr>
          <w:rFonts w:ascii="Times New Roman" w:eastAsia="Times New Roman" w:hAnsi="Times New Roman" w:cs="Times New Roman"/>
          <w:sz w:val="24"/>
          <w:szCs w:val="24"/>
        </w:rPr>
        <w:t>.</w:t>
      </w:r>
      <w:r w:rsidR="00612639">
        <w:rPr>
          <w:rStyle w:val="FootnoteReference"/>
          <w:rFonts w:ascii="Times New Roman" w:eastAsia="Times New Roman" w:hAnsi="Times New Roman" w:cs="Times New Roman"/>
          <w:sz w:val="24"/>
          <w:szCs w:val="24"/>
        </w:rPr>
        <w:footnoteReference w:id="3"/>
      </w:r>
      <w:r w:rsidR="00612639" w:rsidRPr="0077686C">
        <w:rPr>
          <w:rFonts w:ascii="Times New Roman" w:eastAsia="Times New Roman" w:hAnsi="Times New Roman" w:cs="Times New Roman"/>
          <w:sz w:val="24"/>
          <w:szCs w:val="24"/>
        </w:rPr>
        <w:t xml:space="preserve"> The Supreme Court held that giving</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the responsibility for congressional redistricting to an</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independent redistricting commission, such as the AIRC,</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did not violate the Constitution.</w:t>
      </w:r>
      <w:r w:rsidR="00612639">
        <w:rPr>
          <w:rFonts w:ascii="Times New Roman" w:eastAsia="Times New Roman" w:hAnsi="Times New Roman" w:cs="Times New Roman"/>
          <w:sz w:val="24"/>
          <w:szCs w:val="24"/>
        </w:rPr>
        <w:t xml:space="preserve"> </w:t>
      </w:r>
      <w:r w:rsidR="00C2636E">
        <w:rPr>
          <w:rFonts w:ascii="Times New Roman" w:eastAsia="Times New Roman" w:hAnsi="Times New Roman" w:cs="Times New Roman"/>
          <w:sz w:val="24"/>
          <w:szCs w:val="24"/>
        </w:rPr>
        <w:t xml:space="preserve">Today, this case </w:t>
      </w:r>
      <w:r w:rsidR="00612639" w:rsidRPr="0077686C">
        <w:rPr>
          <w:rFonts w:ascii="Times New Roman" w:eastAsia="Times New Roman" w:hAnsi="Times New Roman" w:cs="Times New Roman"/>
          <w:sz w:val="24"/>
          <w:szCs w:val="24"/>
        </w:rPr>
        <w:t>allows</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independent redistricting commissions, rather than state</w:t>
      </w:r>
      <w:r w:rsidR="00612639">
        <w:rPr>
          <w:rFonts w:ascii="Times New Roman" w:eastAsia="Times New Roman" w:hAnsi="Times New Roman" w:cs="Times New Roman"/>
          <w:sz w:val="24"/>
          <w:szCs w:val="24"/>
        </w:rPr>
        <w:t xml:space="preserve"> </w:t>
      </w:r>
      <w:r w:rsidR="00612639" w:rsidRPr="0077686C">
        <w:rPr>
          <w:rFonts w:ascii="Times New Roman" w:eastAsia="Times New Roman" w:hAnsi="Times New Roman" w:cs="Times New Roman"/>
          <w:sz w:val="24"/>
          <w:szCs w:val="24"/>
        </w:rPr>
        <w:t>legislators, to conduct redistricting.</w:t>
      </w:r>
      <w:r w:rsidR="00612639">
        <w:rPr>
          <w:rStyle w:val="FootnoteReference"/>
          <w:rFonts w:ascii="Times New Roman" w:eastAsia="Times New Roman" w:hAnsi="Times New Roman" w:cs="Times New Roman"/>
          <w:sz w:val="24"/>
          <w:szCs w:val="24"/>
        </w:rPr>
        <w:footnoteReference w:id="4"/>
      </w:r>
    </w:p>
    <w:p w14:paraId="1A956134" w14:textId="47504868" w:rsidR="0081090A" w:rsidRDefault="00C2636E">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Arizona’s</w:t>
      </w:r>
      <w:r w:rsidR="003721DB">
        <w:rPr>
          <w:rFonts w:ascii="Times New Roman" w:eastAsia="Times New Roman" w:hAnsi="Times New Roman" w:cs="Times New Roman"/>
          <w:sz w:val="24"/>
          <w:szCs w:val="24"/>
        </w:rPr>
        <w:t xml:space="preserve"> commission on appellate court appointments nominates </w:t>
      </w:r>
      <w:r w:rsidR="00F76E3C">
        <w:rPr>
          <w:rFonts w:ascii="Times New Roman" w:eastAsia="Times New Roman" w:hAnsi="Times New Roman" w:cs="Times New Roman"/>
          <w:sz w:val="24"/>
          <w:szCs w:val="24"/>
        </w:rPr>
        <w:t>ten</w:t>
      </w:r>
      <w:r w:rsidR="003721DB">
        <w:rPr>
          <w:rFonts w:ascii="Times New Roman" w:eastAsia="Times New Roman" w:hAnsi="Times New Roman" w:cs="Times New Roman"/>
          <w:sz w:val="24"/>
          <w:szCs w:val="24"/>
        </w:rPr>
        <w:t xml:space="preserve"> Republicans, </w:t>
      </w:r>
      <w:r w:rsidR="00F76E3C">
        <w:rPr>
          <w:rFonts w:ascii="Times New Roman" w:eastAsia="Times New Roman" w:hAnsi="Times New Roman" w:cs="Times New Roman"/>
          <w:sz w:val="24"/>
          <w:szCs w:val="24"/>
        </w:rPr>
        <w:t xml:space="preserve">ten </w:t>
      </w:r>
      <w:r w:rsidR="003721DB">
        <w:rPr>
          <w:rFonts w:ascii="Times New Roman" w:eastAsia="Times New Roman" w:hAnsi="Times New Roman" w:cs="Times New Roman"/>
          <w:sz w:val="24"/>
          <w:szCs w:val="24"/>
        </w:rPr>
        <w:t xml:space="preserve">Democrats, and </w:t>
      </w:r>
      <w:r w:rsidR="00F76E3C">
        <w:rPr>
          <w:rFonts w:ascii="Times New Roman" w:eastAsia="Times New Roman" w:hAnsi="Times New Roman" w:cs="Times New Roman"/>
          <w:sz w:val="24"/>
          <w:szCs w:val="24"/>
        </w:rPr>
        <w:t>five</w:t>
      </w:r>
      <w:r w:rsidR="003721DB">
        <w:rPr>
          <w:rFonts w:ascii="Times New Roman" w:eastAsia="Times New Roman" w:hAnsi="Times New Roman" w:cs="Times New Roman"/>
          <w:sz w:val="24"/>
          <w:szCs w:val="24"/>
        </w:rPr>
        <w:t xml:space="preserve"> people that belong to neither party</w:t>
      </w:r>
      <w:r>
        <w:rPr>
          <w:rFonts w:ascii="Times New Roman" w:eastAsia="Times New Roman" w:hAnsi="Times New Roman" w:cs="Times New Roman"/>
          <w:sz w:val="24"/>
          <w:szCs w:val="24"/>
        </w:rPr>
        <w:t xml:space="preserve"> to be on the AIRC</w:t>
      </w:r>
      <w:r w:rsidR="003721DB">
        <w:rPr>
          <w:rFonts w:ascii="Times New Roman" w:eastAsia="Times New Roman" w:hAnsi="Times New Roman" w:cs="Times New Roman"/>
          <w:sz w:val="24"/>
          <w:szCs w:val="24"/>
        </w:rPr>
        <w:t>. Then, the majority and minority leaders in each state legislative house choose one commissioner from this pool of 25 nominees. Those four commissioners then select a fifth tiebreaker who is not registered in the same party as any other commissioner.</w:t>
      </w:r>
      <w:r w:rsidR="003721DB">
        <w:rPr>
          <w:rFonts w:ascii="Times New Roman" w:eastAsia="Times New Roman" w:hAnsi="Times New Roman" w:cs="Times New Roman"/>
          <w:sz w:val="24"/>
          <w:szCs w:val="24"/>
          <w:vertAlign w:val="superscript"/>
        </w:rPr>
        <w:footnoteReference w:id="5"/>
      </w:r>
      <w:r w:rsidR="003721DB">
        <w:rPr>
          <w:rFonts w:ascii="Times New Roman" w:eastAsia="Times New Roman" w:hAnsi="Times New Roman" w:cs="Times New Roman"/>
          <w:sz w:val="24"/>
          <w:szCs w:val="24"/>
        </w:rPr>
        <w:t xml:space="preserve"> Each commissioner must be an Arizona voter registered with the same political party (or unaffiliated) for at least three years, and at most two of the first </w:t>
      </w:r>
      <w:r w:rsidR="003721DB">
        <w:rPr>
          <w:rFonts w:ascii="Times New Roman" w:eastAsia="Times New Roman" w:hAnsi="Times New Roman" w:cs="Times New Roman"/>
          <w:sz w:val="24"/>
          <w:szCs w:val="24"/>
        </w:rPr>
        <w:lastRenderedPageBreak/>
        <w:t>four commissioners may live in the same county.</w:t>
      </w:r>
      <w:r w:rsidR="003721DB">
        <w:rPr>
          <w:rFonts w:ascii="Times New Roman" w:eastAsia="Times New Roman" w:hAnsi="Times New Roman" w:cs="Times New Roman"/>
          <w:sz w:val="24"/>
          <w:szCs w:val="24"/>
          <w:vertAlign w:val="superscript"/>
        </w:rPr>
        <w:footnoteReference w:id="6"/>
      </w:r>
      <w:r w:rsidR="003721DB">
        <w:rPr>
          <w:rFonts w:ascii="Times New Roman" w:eastAsia="Times New Roman" w:hAnsi="Times New Roman" w:cs="Times New Roman"/>
          <w:sz w:val="24"/>
          <w:szCs w:val="24"/>
        </w:rPr>
        <w:t xml:space="preserve"> Once this commission is assembled, it may begin drawing a plan.</w:t>
      </w:r>
    </w:p>
    <w:p w14:paraId="1E2F7164" w14:textId="403F0CAB" w:rsidR="00CD68B5" w:rsidRDefault="003721DB" w:rsidP="00CD68B5">
      <w:pPr>
        <w:shd w:val="clear" w:color="auto" w:fill="FFFFFF"/>
        <w:spacing w:line="480" w:lineRule="auto"/>
        <w:ind w:firstLine="720"/>
        <w:rPr>
          <w:rFonts w:ascii="Times New Roman" w:eastAsia="Times New Roman" w:hAnsi="Times New Roman" w:cs="Times New Roman"/>
          <w:sz w:val="24"/>
          <w:szCs w:val="24"/>
        </w:rPr>
      </w:pPr>
      <w:bookmarkStart w:id="1" w:name="_Hlk92898339"/>
      <w:r>
        <w:rPr>
          <w:rFonts w:ascii="Times New Roman" w:eastAsia="Times New Roman" w:hAnsi="Times New Roman" w:cs="Times New Roman"/>
          <w:sz w:val="24"/>
          <w:szCs w:val="24"/>
        </w:rPr>
        <w:t xml:space="preserve">As with any state in the union, Arizona must comply with </w:t>
      </w:r>
      <w:r w:rsidR="00CD68B5">
        <w:rPr>
          <w:rFonts w:ascii="Times New Roman" w:eastAsia="Times New Roman" w:hAnsi="Times New Roman" w:cs="Times New Roman"/>
          <w:sz w:val="24"/>
          <w:szCs w:val="24"/>
        </w:rPr>
        <w:t>constitutional</w:t>
      </w:r>
      <w:r>
        <w:rPr>
          <w:rFonts w:ascii="Times New Roman" w:eastAsia="Times New Roman" w:hAnsi="Times New Roman" w:cs="Times New Roman"/>
          <w:sz w:val="24"/>
          <w:szCs w:val="24"/>
        </w:rPr>
        <w:t xml:space="preserve"> equal population requirements. </w:t>
      </w:r>
      <w:r w:rsidR="00CD68B5">
        <w:rPr>
          <w:rFonts w:ascii="Times New Roman" w:eastAsia="Times New Roman" w:hAnsi="Times New Roman" w:cs="Times New Roman"/>
          <w:sz w:val="24"/>
          <w:szCs w:val="24"/>
        </w:rPr>
        <w:t xml:space="preserve">In a 1964 case, </w:t>
      </w:r>
      <w:r w:rsidR="00CD68B5">
        <w:rPr>
          <w:rFonts w:ascii="Times New Roman" w:eastAsia="Times New Roman" w:hAnsi="Times New Roman" w:cs="Times New Roman"/>
          <w:i/>
          <w:sz w:val="24"/>
          <w:szCs w:val="24"/>
        </w:rPr>
        <w:t>Wesberry v. Sanders</w:t>
      </w:r>
      <w:r w:rsidR="00CD68B5">
        <w:rPr>
          <w:rFonts w:ascii="Times New Roman" w:eastAsia="Times New Roman" w:hAnsi="Times New Roman" w:cs="Times New Roman"/>
          <w:sz w:val="24"/>
          <w:szCs w:val="24"/>
        </w:rPr>
        <w:t>, the Supreme Court found that Article I, section 2 of the United States Constitution requires strictly equal population in congressional districts as to ensure equal representation.</w:t>
      </w:r>
      <w:r w:rsidR="00CD68B5">
        <w:rPr>
          <w:rFonts w:ascii="Times New Roman" w:eastAsia="Times New Roman" w:hAnsi="Times New Roman" w:cs="Times New Roman"/>
          <w:sz w:val="24"/>
          <w:szCs w:val="24"/>
          <w:vertAlign w:val="superscript"/>
        </w:rPr>
        <w:footnoteReference w:id="7"/>
      </w:r>
      <w:r w:rsidR="00CD68B5">
        <w:rPr>
          <w:rFonts w:ascii="Times New Roman" w:eastAsia="Times New Roman" w:hAnsi="Times New Roman" w:cs="Times New Roman"/>
          <w:sz w:val="24"/>
          <w:szCs w:val="24"/>
        </w:rPr>
        <w:t xml:space="preserve"> Otherwise, a congressional district in New York might have </w:t>
      </w:r>
      <w:r w:rsidR="00B7364B">
        <w:rPr>
          <w:rFonts w:ascii="Times New Roman" w:eastAsia="Times New Roman" w:hAnsi="Times New Roman" w:cs="Times New Roman"/>
          <w:sz w:val="24"/>
          <w:szCs w:val="24"/>
        </w:rPr>
        <w:t>six</w:t>
      </w:r>
      <w:r w:rsidR="00CD68B5">
        <w:rPr>
          <w:rFonts w:ascii="Times New Roman" w:eastAsia="Times New Roman" w:hAnsi="Times New Roman" w:cs="Times New Roman"/>
          <w:sz w:val="24"/>
          <w:szCs w:val="24"/>
        </w:rPr>
        <w:t xml:space="preserve"> million people in it, while one in Montana has six thousand. </w:t>
      </w:r>
      <w:r w:rsidR="00A369EF">
        <w:rPr>
          <w:rFonts w:ascii="Times New Roman" w:eastAsia="Times New Roman" w:hAnsi="Times New Roman" w:cs="Times New Roman"/>
          <w:iCs/>
          <w:sz w:val="24"/>
          <w:szCs w:val="24"/>
        </w:rPr>
        <w:t xml:space="preserve">In </w:t>
      </w:r>
      <w:r w:rsidR="00A369EF">
        <w:rPr>
          <w:rFonts w:ascii="Times New Roman" w:eastAsia="Times New Roman" w:hAnsi="Times New Roman" w:cs="Times New Roman"/>
          <w:i/>
          <w:sz w:val="24"/>
          <w:szCs w:val="24"/>
        </w:rPr>
        <w:t>Karcher v. Daggett</w:t>
      </w:r>
      <w:r w:rsidR="00A369EF">
        <w:rPr>
          <w:rFonts w:ascii="Times New Roman" w:eastAsia="Times New Roman" w:hAnsi="Times New Roman" w:cs="Times New Roman"/>
          <w:sz w:val="24"/>
          <w:szCs w:val="24"/>
        </w:rPr>
        <w:t xml:space="preserve">, the Supreme Court rejected a </w:t>
      </w:r>
      <w:r w:rsidR="00A369EF">
        <w:rPr>
          <w:rFonts w:ascii="Times New Roman" w:eastAsia="Times New Roman" w:hAnsi="Times New Roman" w:cs="Times New Roman"/>
          <w:i/>
          <w:sz w:val="24"/>
          <w:szCs w:val="24"/>
        </w:rPr>
        <w:t>de minimis</w:t>
      </w:r>
      <w:r w:rsidR="00A369EF">
        <w:rPr>
          <w:rFonts w:ascii="Times New Roman" w:eastAsia="Times New Roman" w:hAnsi="Times New Roman" w:cs="Times New Roman"/>
          <w:sz w:val="24"/>
          <w:szCs w:val="24"/>
        </w:rPr>
        <w:t xml:space="preserve"> exception to the equal population requirement.</w:t>
      </w:r>
      <w:r w:rsidR="00A369EF">
        <w:rPr>
          <w:rFonts w:ascii="Times New Roman" w:eastAsia="Times New Roman" w:hAnsi="Times New Roman" w:cs="Times New Roman"/>
          <w:sz w:val="24"/>
          <w:szCs w:val="24"/>
          <w:vertAlign w:val="superscript"/>
        </w:rPr>
        <w:footnoteReference w:id="8"/>
      </w:r>
      <w:r w:rsidR="00A369EF">
        <w:rPr>
          <w:rFonts w:ascii="Times New Roman" w:eastAsia="Times New Roman" w:hAnsi="Times New Roman" w:cs="Times New Roman"/>
          <w:sz w:val="24"/>
          <w:szCs w:val="24"/>
        </w:rPr>
        <w:t xml:space="preserve"> In doing so, they created a strict requirement of perfect population equality for congressional districts unless there is adequate justification for a deviation. This equal population principle, known as “one person, one vote,” ensures that every congressional district in the country has </w:t>
      </w:r>
      <w:r w:rsidR="00A369EF">
        <w:rPr>
          <w:rFonts w:ascii="Times New Roman" w:eastAsia="Times New Roman" w:hAnsi="Times New Roman" w:cs="Times New Roman"/>
          <w:i/>
          <w:sz w:val="24"/>
          <w:szCs w:val="24"/>
        </w:rPr>
        <w:t xml:space="preserve">roughly </w:t>
      </w:r>
      <w:r w:rsidR="00A369EF">
        <w:rPr>
          <w:rFonts w:ascii="Times New Roman" w:eastAsia="Times New Roman" w:hAnsi="Times New Roman" w:cs="Times New Roman"/>
          <w:sz w:val="24"/>
          <w:szCs w:val="24"/>
        </w:rPr>
        <w:t>758,000 people in it (332 million</w:t>
      </w:r>
      <w:r w:rsidR="00A369EF">
        <w:rPr>
          <w:rFonts w:ascii="Times New Roman" w:eastAsia="Times New Roman" w:hAnsi="Times New Roman" w:cs="Times New Roman"/>
          <w:sz w:val="24"/>
          <w:szCs w:val="24"/>
          <w:vertAlign w:val="superscript"/>
        </w:rPr>
        <w:footnoteReference w:id="9"/>
      </w:r>
      <w:r w:rsidR="00A369EF">
        <w:rPr>
          <w:rFonts w:ascii="Times New Roman" w:eastAsia="Times New Roman" w:hAnsi="Times New Roman" w:cs="Times New Roman"/>
          <w:sz w:val="24"/>
          <w:szCs w:val="24"/>
        </w:rPr>
        <w:t xml:space="preserve"> people divided by 435 congressional representatives). </w:t>
      </w:r>
      <w:r w:rsidR="005B0CC5">
        <w:rPr>
          <w:rFonts w:ascii="Times New Roman" w:eastAsia="Times New Roman" w:hAnsi="Times New Roman" w:cs="Times New Roman"/>
          <w:sz w:val="24"/>
          <w:szCs w:val="24"/>
        </w:rPr>
        <w:t xml:space="preserve">For this plan, Arizona’s ideal population-per-district is 794,611. </w:t>
      </w:r>
      <w:r w:rsidR="00EC220C">
        <w:rPr>
          <w:rFonts w:ascii="Times New Roman" w:eastAsia="Times New Roman" w:hAnsi="Times New Roman" w:cs="Times New Roman"/>
          <w:sz w:val="24"/>
          <w:szCs w:val="24"/>
        </w:rPr>
        <w:t>S</w:t>
      </w:r>
      <w:r w:rsidR="005B0CC5">
        <w:rPr>
          <w:rFonts w:ascii="Times New Roman" w:eastAsia="Times New Roman" w:hAnsi="Times New Roman" w:cs="Times New Roman"/>
          <w:sz w:val="24"/>
          <w:szCs w:val="24"/>
        </w:rPr>
        <w:t xml:space="preserve">tate laws </w:t>
      </w:r>
      <w:r w:rsidR="00EC220C">
        <w:rPr>
          <w:rFonts w:ascii="Times New Roman" w:eastAsia="Times New Roman" w:hAnsi="Times New Roman" w:cs="Times New Roman"/>
          <w:sz w:val="24"/>
          <w:szCs w:val="24"/>
        </w:rPr>
        <w:t xml:space="preserve">also </w:t>
      </w:r>
      <w:r w:rsidR="005B0CC5">
        <w:rPr>
          <w:rFonts w:ascii="Times New Roman" w:eastAsia="Times New Roman" w:hAnsi="Times New Roman" w:cs="Times New Roman"/>
          <w:sz w:val="24"/>
          <w:szCs w:val="24"/>
        </w:rPr>
        <w:t>require that districts have equal population to the extent practicable.</w:t>
      </w:r>
      <w:r w:rsidR="005B0CC5">
        <w:rPr>
          <w:rFonts w:ascii="Times New Roman" w:eastAsia="Times New Roman" w:hAnsi="Times New Roman" w:cs="Times New Roman"/>
          <w:sz w:val="24"/>
          <w:szCs w:val="24"/>
          <w:vertAlign w:val="superscript"/>
        </w:rPr>
        <w:footnoteReference w:id="10"/>
      </w:r>
      <w:r w:rsidR="005B0CC5">
        <w:rPr>
          <w:rFonts w:ascii="Times New Roman" w:eastAsia="Times New Roman" w:hAnsi="Times New Roman" w:cs="Times New Roman"/>
          <w:sz w:val="24"/>
          <w:szCs w:val="24"/>
        </w:rPr>
        <w:t xml:space="preserve"> Because the Supreme Court has interpreted the Constitution as having an equal population requirement already, this state law was not a factor in this plan.</w:t>
      </w:r>
    </w:p>
    <w:bookmarkEnd w:id="1"/>
    <w:p w14:paraId="510FD679" w14:textId="0C1F9299" w:rsidR="00CD68B5" w:rsidRDefault="003721DB" w:rsidP="00CD68B5">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 is unique, however, is that the Arizona constitution requires that the district map begin with a “grid-like pattern.”</w:t>
      </w:r>
      <w:r w:rsidR="00A369EF">
        <w:rPr>
          <w:rStyle w:val="FootnoteReference"/>
          <w:rFonts w:ascii="Times New Roman" w:eastAsia="Times New Roman" w:hAnsi="Times New Roman" w:cs="Times New Roman"/>
          <w:sz w:val="24"/>
          <w:szCs w:val="24"/>
        </w:rPr>
        <w:footnoteReference w:id="11"/>
      </w:r>
      <w:r>
        <w:rPr>
          <w:rFonts w:ascii="Times New Roman" w:eastAsia="Times New Roman" w:hAnsi="Times New Roman" w:cs="Times New Roman"/>
          <w:sz w:val="24"/>
          <w:szCs w:val="24"/>
        </w:rPr>
        <w:t xml:space="preserve"> This asks redistrictors to begin with a grid originating from a </w:t>
      </w:r>
      <w:r>
        <w:rPr>
          <w:rFonts w:ascii="Times New Roman" w:eastAsia="Times New Roman" w:hAnsi="Times New Roman" w:cs="Times New Roman"/>
          <w:sz w:val="24"/>
          <w:szCs w:val="24"/>
        </w:rPr>
        <w:lastRenderedPageBreak/>
        <w:t>geographically central point, then to adjust districts to be contiguous, geographically compact, and respect communities of interest to the extent practicable.</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In practice, though, the final maps rarely resemble the underlying grid that they began with because so much adjustment takes place to create populous, consistent, and representative districts. The state constitution also requires, to the extent practicable, that district lines use visible geographic features</w:t>
      </w:r>
      <w:r w:rsidR="00EC67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city, town, and county boundaries</w:t>
      </w:r>
      <w:r w:rsidR="00EC67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undivided census tracts.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This plan follows each of these principles where possible, deferring first to political subdivision lines and then to natural geographic boundaries. The last element that the state constitution asks is that, to the extent practicable, competitive districts be favored where doing so would not significantly detract from the goals above.</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This is perhaps the area where this plan is least compliant. </w:t>
      </w:r>
      <w:r w:rsidR="002E049D">
        <w:rPr>
          <w:rFonts w:ascii="Times New Roman" w:eastAsia="Times New Roman" w:hAnsi="Times New Roman" w:cs="Times New Roman"/>
          <w:sz w:val="24"/>
          <w:szCs w:val="24"/>
        </w:rPr>
        <w:t>This point</w:t>
      </w:r>
      <w:r>
        <w:rPr>
          <w:rFonts w:ascii="Times New Roman" w:eastAsia="Times New Roman" w:hAnsi="Times New Roman" w:cs="Times New Roman"/>
          <w:sz w:val="24"/>
          <w:szCs w:val="24"/>
        </w:rPr>
        <w:t xml:space="preserve"> (and the trade-offs that were made at its expense) </w:t>
      </w:r>
      <w:r w:rsidR="002E049D">
        <w:rPr>
          <w:rFonts w:ascii="Times New Roman" w:eastAsia="Times New Roman" w:hAnsi="Times New Roman" w:cs="Times New Roman"/>
          <w:sz w:val="24"/>
          <w:szCs w:val="24"/>
        </w:rPr>
        <w:t xml:space="preserve">are discussed </w:t>
      </w:r>
      <w:r>
        <w:rPr>
          <w:rFonts w:ascii="Times New Roman" w:eastAsia="Times New Roman" w:hAnsi="Times New Roman" w:cs="Times New Roman"/>
          <w:i/>
          <w:sz w:val="24"/>
          <w:szCs w:val="24"/>
        </w:rPr>
        <w:t>infra</w:t>
      </w:r>
      <w:r>
        <w:rPr>
          <w:rFonts w:ascii="Times New Roman" w:eastAsia="Times New Roman" w:hAnsi="Times New Roman" w:cs="Times New Roman"/>
          <w:sz w:val="24"/>
          <w:szCs w:val="24"/>
        </w:rPr>
        <w:t>.</w:t>
      </w:r>
    </w:p>
    <w:p w14:paraId="19482634" w14:textId="2701790D" w:rsidR="00A77701" w:rsidRDefault="00A77701" w:rsidP="00D76DB5">
      <w:pPr>
        <w:shd w:val="clear" w:color="auto" w:fill="FFFFFF"/>
        <w:spacing w:line="480" w:lineRule="auto"/>
        <w:ind w:firstLine="720"/>
        <w:rPr>
          <w:rFonts w:ascii="Times New Roman" w:eastAsia="Times New Roman" w:hAnsi="Times New Roman" w:cs="Times New Roman"/>
          <w:sz w:val="24"/>
          <w:szCs w:val="24"/>
        </w:rPr>
      </w:pPr>
      <w:bookmarkStart w:id="2" w:name="_Hlk92898559"/>
      <w:r w:rsidRPr="00A77701">
        <w:rPr>
          <w:rFonts w:ascii="Times New Roman" w:eastAsia="Times New Roman" w:hAnsi="Times New Roman" w:cs="Times New Roman"/>
          <w:sz w:val="24"/>
          <w:szCs w:val="24"/>
        </w:rPr>
        <w:t xml:space="preserve">Section 2 </w:t>
      </w:r>
      <w:r>
        <w:rPr>
          <w:rFonts w:ascii="Times New Roman" w:eastAsia="Times New Roman" w:hAnsi="Times New Roman" w:cs="Times New Roman"/>
          <w:sz w:val="24"/>
          <w:szCs w:val="24"/>
        </w:rPr>
        <w:t xml:space="preserve">of the Voting Rights Act </w:t>
      </w:r>
      <w:r w:rsidR="005E157C">
        <w:rPr>
          <w:rFonts w:ascii="Times New Roman" w:eastAsia="Times New Roman" w:hAnsi="Times New Roman" w:cs="Times New Roman"/>
          <w:sz w:val="24"/>
          <w:szCs w:val="24"/>
        </w:rPr>
        <w:t xml:space="preserve">plays an important role in the redistricting process. </w:t>
      </w:r>
      <w:r w:rsidR="005E157C" w:rsidRPr="00D76DB5">
        <w:rPr>
          <w:rFonts w:ascii="Times New Roman" w:eastAsia="Times New Roman" w:hAnsi="Times New Roman" w:cs="Times New Roman"/>
          <w:sz w:val="24"/>
          <w:szCs w:val="24"/>
        </w:rPr>
        <w:t xml:space="preserve">Section 2 </w:t>
      </w:r>
      <w:r w:rsidRPr="00A77701">
        <w:rPr>
          <w:rFonts w:ascii="Times New Roman" w:eastAsia="Times New Roman" w:hAnsi="Times New Roman" w:cs="Times New Roman"/>
          <w:sz w:val="24"/>
          <w:szCs w:val="24"/>
        </w:rPr>
        <w:t>prohibits state and local governments</w:t>
      </w:r>
      <w:r>
        <w:rPr>
          <w:rFonts w:ascii="Times New Roman" w:eastAsia="Times New Roman" w:hAnsi="Times New Roman" w:cs="Times New Roman"/>
          <w:sz w:val="24"/>
          <w:szCs w:val="24"/>
        </w:rPr>
        <w:t xml:space="preserve"> </w:t>
      </w:r>
      <w:r w:rsidRPr="00A77701">
        <w:rPr>
          <w:rFonts w:ascii="Times New Roman" w:eastAsia="Times New Roman" w:hAnsi="Times New Roman" w:cs="Times New Roman"/>
          <w:sz w:val="24"/>
          <w:szCs w:val="24"/>
        </w:rPr>
        <w:t>from imposing voting laws that disproportionately harm</w:t>
      </w:r>
      <w:r>
        <w:rPr>
          <w:rFonts w:ascii="Times New Roman" w:eastAsia="Times New Roman" w:hAnsi="Times New Roman" w:cs="Times New Roman"/>
          <w:sz w:val="24"/>
          <w:szCs w:val="24"/>
        </w:rPr>
        <w:t xml:space="preserve"> </w:t>
      </w:r>
      <w:r w:rsidRPr="00A77701">
        <w:rPr>
          <w:rFonts w:ascii="Times New Roman" w:eastAsia="Times New Roman" w:hAnsi="Times New Roman" w:cs="Times New Roman"/>
          <w:sz w:val="24"/>
          <w:szCs w:val="24"/>
        </w:rPr>
        <w:t>people of color or laws that are motivated by a purpose</w:t>
      </w:r>
      <w:r>
        <w:rPr>
          <w:rFonts w:ascii="Times New Roman" w:eastAsia="Times New Roman" w:hAnsi="Times New Roman" w:cs="Times New Roman"/>
          <w:sz w:val="24"/>
          <w:szCs w:val="24"/>
        </w:rPr>
        <w:t xml:space="preserve"> </w:t>
      </w:r>
      <w:r w:rsidRPr="00A77701">
        <w:rPr>
          <w:rFonts w:ascii="Times New Roman" w:eastAsia="Times New Roman" w:hAnsi="Times New Roman" w:cs="Times New Roman"/>
          <w:sz w:val="24"/>
          <w:szCs w:val="24"/>
        </w:rPr>
        <w:t>to discriminate against minority voters</w:t>
      </w:r>
      <w:r w:rsidR="00D76DB5">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5"/>
      </w:r>
      <w:r w:rsidR="00D76DB5" w:rsidRPr="00D76DB5">
        <w:rPr>
          <w:rFonts w:ascii="Times New Roman" w:eastAsia="Times New Roman" w:hAnsi="Times New Roman" w:cs="Times New Roman"/>
          <w:sz w:val="24"/>
          <w:szCs w:val="24"/>
        </w:rPr>
        <w:t xml:space="preserve"> </w:t>
      </w:r>
      <w:r w:rsidR="005E157C">
        <w:rPr>
          <w:rFonts w:ascii="Times New Roman" w:eastAsia="Times New Roman" w:hAnsi="Times New Roman" w:cs="Times New Roman"/>
          <w:sz w:val="24"/>
          <w:szCs w:val="24"/>
        </w:rPr>
        <w:t xml:space="preserve">This prohibition on discrimination in voting also extends to redistricting maps that decide where voters live. </w:t>
      </w:r>
      <w:r w:rsidR="00D76DB5" w:rsidRPr="00D76DB5">
        <w:rPr>
          <w:rFonts w:ascii="Times New Roman" w:eastAsia="Times New Roman" w:hAnsi="Times New Roman" w:cs="Times New Roman"/>
          <w:sz w:val="24"/>
          <w:szCs w:val="24"/>
        </w:rPr>
        <w:t>If a map</w:t>
      </w:r>
      <w:r w:rsidR="00D76DB5">
        <w:rPr>
          <w:rFonts w:ascii="Times New Roman" w:eastAsia="Times New Roman" w:hAnsi="Times New Roman" w:cs="Times New Roman"/>
          <w:sz w:val="24"/>
          <w:szCs w:val="24"/>
        </w:rPr>
        <w:t xml:space="preserve"> </w:t>
      </w:r>
      <w:r w:rsidR="00D76DB5" w:rsidRPr="00D76DB5">
        <w:rPr>
          <w:rFonts w:ascii="Times New Roman" w:eastAsia="Times New Roman" w:hAnsi="Times New Roman" w:cs="Times New Roman"/>
          <w:sz w:val="24"/>
          <w:szCs w:val="24"/>
        </w:rPr>
        <w:t xml:space="preserve">disadvantages people of color through </w:t>
      </w:r>
      <w:r w:rsidR="005E157C">
        <w:rPr>
          <w:rFonts w:ascii="Times New Roman" w:eastAsia="Times New Roman" w:hAnsi="Times New Roman" w:cs="Times New Roman"/>
          <w:sz w:val="24"/>
          <w:szCs w:val="24"/>
        </w:rPr>
        <w:t>packing or cracking</w:t>
      </w:r>
      <w:r w:rsidR="00D76DB5" w:rsidRPr="00D76DB5">
        <w:rPr>
          <w:rFonts w:ascii="Times New Roman" w:eastAsia="Times New Roman" w:hAnsi="Times New Roman" w:cs="Times New Roman"/>
          <w:sz w:val="24"/>
          <w:szCs w:val="24"/>
        </w:rPr>
        <w:t>,</w:t>
      </w:r>
      <w:r w:rsidR="00D76DB5">
        <w:rPr>
          <w:rFonts w:ascii="Times New Roman" w:eastAsia="Times New Roman" w:hAnsi="Times New Roman" w:cs="Times New Roman"/>
          <w:sz w:val="24"/>
          <w:szCs w:val="24"/>
        </w:rPr>
        <w:t xml:space="preserve"> </w:t>
      </w:r>
      <w:r w:rsidR="005E157C">
        <w:rPr>
          <w:rFonts w:ascii="Times New Roman" w:eastAsia="Times New Roman" w:hAnsi="Times New Roman" w:cs="Times New Roman"/>
          <w:sz w:val="24"/>
          <w:szCs w:val="24"/>
        </w:rPr>
        <w:t>it</w:t>
      </w:r>
      <w:r w:rsidR="00D76DB5" w:rsidRPr="00D76DB5">
        <w:rPr>
          <w:rFonts w:ascii="Times New Roman" w:eastAsia="Times New Roman" w:hAnsi="Times New Roman" w:cs="Times New Roman"/>
          <w:sz w:val="24"/>
          <w:szCs w:val="24"/>
        </w:rPr>
        <w:t xml:space="preserve"> violates </w:t>
      </w:r>
      <w:r w:rsidR="008A755D">
        <w:rPr>
          <w:rFonts w:ascii="Times New Roman" w:eastAsia="Times New Roman" w:hAnsi="Times New Roman" w:cs="Times New Roman"/>
          <w:sz w:val="24"/>
          <w:szCs w:val="24"/>
        </w:rPr>
        <w:t>s</w:t>
      </w:r>
      <w:r w:rsidR="00D76DB5" w:rsidRPr="00D76DB5">
        <w:rPr>
          <w:rFonts w:ascii="Times New Roman" w:eastAsia="Times New Roman" w:hAnsi="Times New Roman" w:cs="Times New Roman"/>
          <w:sz w:val="24"/>
          <w:szCs w:val="24"/>
        </w:rPr>
        <w:t>ection 2.</w:t>
      </w:r>
      <w:r w:rsidR="00D76DB5">
        <w:rPr>
          <w:rFonts w:ascii="Times New Roman" w:eastAsia="Times New Roman" w:hAnsi="Times New Roman" w:cs="Times New Roman"/>
          <w:sz w:val="24"/>
          <w:szCs w:val="24"/>
        </w:rPr>
        <w:t xml:space="preserve"> </w:t>
      </w:r>
      <w:r w:rsidR="00D76DB5" w:rsidRPr="00D76DB5">
        <w:rPr>
          <w:rFonts w:ascii="Times New Roman" w:eastAsia="Times New Roman" w:hAnsi="Times New Roman" w:cs="Times New Roman"/>
          <w:sz w:val="24"/>
          <w:szCs w:val="24"/>
        </w:rPr>
        <w:t xml:space="preserve">Packing </w:t>
      </w:r>
      <w:r w:rsidR="005E157C">
        <w:rPr>
          <w:rFonts w:ascii="Times New Roman" w:eastAsia="Times New Roman" w:hAnsi="Times New Roman" w:cs="Times New Roman"/>
          <w:sz w:val="24"/>
          <w:szCs w:val="24"/>
        </w:rPr>
        <w:t xml:space="preserve">occurs when voters are packed </w:t>
      </w:r>
      <w:r w:rsidR="00D76DB5" w:rsidRPr="00D76DB5">
        <w:rPr>
          <w:rFonts w:ascii="Times New Roman" w:eastAsia="Times New Roman" w:hAnsi="Times New Roman" w:cs="Times New Roman"/>
          <w:sz w:val="24"/>
          <w:szCs w:val="24"/>
        </w:rPr>
        <w:t>into one or more districts</w:t>
      </w:r>
      <w:r w:rsidR="005E157C">
        <w:rPr>
          <w:rFonts w:ascii="Times New Roman" w:eastAsia="Times New Roman" w:hAnsi="Times New Roman" w:cs="Times New Roman"/>
          <w:sz w:val="24"/>
          <w:szCs w:val="24"/>
        </w:rPr>
        <w:t xml:space="preserve"> in an effort to decrease </w:t>
      </w:r>
      <w:r w:rsidR="00D76DB5" w:rsidRPr="00D76DB5">
        <w:rPr>
          <w:rFonts w:ascii="Times New Roman" w:eastAsia="Times New Roman" w:hAnsi="Times New Roman" w:cs="Times New Roman"/>
          <w:sz w:val="24"/>
          <w:szCs w:val="24"/>
        </w:rPr>
        <w:t xml:space="preserve">the power of </w:t>
      </w:r>
      <w:r w:rsidR="005E157C">
        <w:rPr>
          <w:rFonts w:ascii="Times New Roman" w:eastAsia="Times New Roman" w:hAnsi="Times New Roman" w:cs="Times New Roman"/>
          <w:sz w:val="24"/>
          <w:szCs w:val="24"/>
        </w:rPr>
        <w:t>their votes</w:t>
      </w:r>
      <w:r w:rsidR="00D76DB5" w:rsidRPr="00D76DB5">
        <w:rPr>
          <w:rFonts w:ascii="Times New Roman" w:eastAsia="Times New Roman" w:hAnsi="Times New Roman" w:cs="Times New Roman"/>
          <w:sz w:val="24"/>
          <w:szCs w:val="24"/>
        </w:rPr>
        <w:t>.</w:t>
      </w:r>
      <w:r w:rsidR="00D76DB5">
        <w:rPr>
          <w:rFonts w:ascii="Times New Roman" w:eastAsia="Times New Roman" w:hAnsi="Times New Roman" w:cs="Times New Roman"/>
          <w:sz w:val="24"/>
          <w:szCs w:val="24"/>
        </w:rPr>
        <w:t xml:space="preserve"> </w:t>
      </w:r>
      <w:r w:rsidR="00AB6FA4">
        <w:rPr>
          <w:rFonts w:ascii="Times New Roman" w:eastAsia="Times New Roman" w:hAnsi="Times New Roman" w:cs="Times New Roman"/>
          <w:sz w:val="24"/>
          <w:szCs w:val="24"/>
        </w:rPr>
        <w:t xml:space="preserve">If a community of 1,000 Black voters is packed into one district instead of two districts of 500 (where they would still have a near-majority), that community’s power is reduced. Their voices are only represented in a </w:t>
      </w:r>
      <w:r w:rsidR="00AB6FA4">
        <w:rPr>
          <w:rFonts w:ascii="Times New Roman" w:eastAsia="Times New Roman" w:hAnsi="Times New Roman" w:cs="Times New Roman"/>
          <w:sz w:val="24"/>
          <w:szCs w:val="24"/>
        </w:rPr>
        <w:lastRenderedPageBreak/>
        <w:t xml:space="preserve">meaningful way in one district rather than two. </w:t>
      </w:r>
      <w:r w:rsidR="00D76DB5" w:rsidRPr="00D76DB5">
        <w:rPr>
          <w:rFonts w:ascii="Times New Roman" w:eastAsia="Times New Roman" w:hAnsi="Times New Roman" w:cs="Times New Roman"/>
          <w:sz w:val="24"/>
          <w:szCs w:val="24"/>
        </w:rPr>
        <w:t xml:space="preserve">On the other hand, cracking is the </w:t>
      </w:r>
      <w:r w:rsidR="00AB6FA4">
        <w:rPr>
          <w:rFonts w:ascii="Times New Roman" w:eastAsia="Times New Roman" w:hAnsi="Times New Roman" w:cs="Times New Roman"/>
          <w:sz w:val="24"/>
          <w:szCs w:val="24"/>
        </w:rPr>
        <w:t xml:space="preserve">opposite </w:t>
      </w:r>
      <w:r w:rsidR="00D76DB5" w:rsidRPr="00D76DB5">
        <w:rPr>
          <w:rFonts w:ascii="Times New Roman" w:eastAsia="Times New Roman" w:hAnsi="Times New Roman" w:cs="Times New Roman"/>
          <w:sz w:val="24"/>
          <w:szCs w:val="24"/>
        </w:rPr>
        <w:t>process</w:t>
      </w:r>
      <w:r w:rsidR="00AB6FA4">
        <w:rPr>
          <w:rFonts w:ascii="Times New Roman" w:eastAsia="Times New Roman" w:hAnsi="Times New Roman" w:cs="Times New Roman"/>
          <w:sz w:val="24"/>
          <w:szCs w:val="24"/>
        </w:rPr>
        <w:t>.</w:t>
      </w:r>
      <w:r w:rsidR="00D76DB5" w:rsidRPr="00D76DB5">
        <w:rPr>
          <w:rFonts w:ascii="Times New Roman" w:eastAsia="Times New Roman" w:hAnsi="Times New Roman" w:cs="Times New Roman"/>
          <w:sz w:val="24"/>
          <w:szCs w:val="24"/>
        </w:rPr>
        <w:t xml:space="preserve"> </w:t>
      </w:r>
      <w:r w:rsidR="00AB6FA4">
        <w:rPr>
          <w:rFonts w:ascii="Times New Roman" w:eastAsia="Times New Roman" w:hAnsi="Times New Roman" w:cs="Times New Roman"/>
          <w:sz w:val="24"/>
          <w:szCs w:val="24"/>
        </w:rPr>
        <w:t xml:space="preserve">When a community is cracked, </w:t>
      </w:r>
      <w:r w:rsidR="00D76DB5" w:rsidRPr="00D76DB5">
        <w:rPr>
          <w:rFonts w:ascii="Times New Roman" w:eastAsia="Times New Roman" w:hAnsi="Times New Roman" w:cs="Times New Roman"/>
          <w:sz w:val="24"/>
          <w:szCs w:val="24"/>
        </w:rPr>
        <w:t>voters who could potentially form a majority in one district</w:t>
      </w:r>
      <w:r w:rsidR="00D76DB5">
        <w:rPr>
          <w:rFonts w:ascii="Times New Roman" w:eastAsia="Times New Roman" w:hAnsi="Times New Roman" w:cs="Times New Roman"/>
          <w:sz w:val="24"/>
          <w:szCs w:val="24"/>
        </w:rPr>
        <w:t xml:space="preserve"> </w:t>
      </w:r>
      <w:r w:rsidR="00D76DB5" w:rsidRPr="00D76DB5">
        <w:rPr>
          <w:rFonts w:ascii="Times New Roman" w:eastAsia="Times New Roman" w:hAnsi="Times New Roman" w:cs="Times New Roman"/>
          <w:sz w:val="24"/>
          <w:szCs w:val="24"/>
        </w:rPr>
        <w:t>are split up into many districts.</w:t>
      </w:r>
      <w:r w:rsidR="00AB6FA4">
        <w:rPr>
          <w:rFonts w:ascii="Times New Roman" w:eastAsia="Times New Roman" w:hAnsi="Times New Roman" w:cs="Times New Roman"/>
          <w:sz w:val="24"/>
          <w:szCs w:val="24"/>
        </w:rPr>
        <w:t xml:space="preserve"> If that same community of 1,000 Black voters is split into ten districts of 100 voters each, their voices are effectively silenced.</w:t>
      </w:r>
      <w:r w:rsidR="0077686C">
        <w:rPr>
          <w:rStyle w:val="FootnoteReference"/>
          <w:rFonts w:ascii="Times New Roman" w:eastAsia="Times New Roman" w:hAnsi="Times New Roman" w:cs="Times New Roman"/>
          <w:sz w:val="24"/>
          <w:szCs w:val="24"/>
        </w:rPr>
        <w:footnoteReference w:id="16"/>
      </w:r>
    </w:p>
    <w:p w14:paraId="2952E10B" w14:textId="67AC6BFF" w:rsidR="00B060EB" w:rsidRPr="008A755D" w:rsidRDefault="002E049D" w:rsidP="008A755D">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seminal case, </w:t>
      </w:r>
      <w:r w:rsidR="00B060EB">
        <w:rPr>
          <w:rFonts w:ascii="Times New Roman" w:eastAsia="Times New Roman" w:hAnsi="Times New Roman" w:cs="Times New Roman"/>
          <w:i/>
          <w:sz w:val="24"/>
          <w:szCs w:val="24"/>
        </w:rPr>
        <w:t>Thornburg v. Gingles</w:t>
      </w:r>
      <w:r w:rsidR="00B060EB">
        <w:rPr>
          <w:rFonts w:ascii="Times New Roman" w:eastAsia="Times New Roman" w:hAnsi="Times New Roman" w:cs="Times New Roman"/>
          <w:sz w:val="24"/>
          <w:szCs w:val="24"/>
        </w:rPr>
        <w:t>, held that a plaintiff challenging a redistricting plan under section 2 must first satisfy a three-pronged threshold test.</w:t>
      </w:r>
      <w:r w:rsidR="00B060EB">
        <w:rPr>
          <w:rFonts w:ascii="Times New Roman" w:eastAsia="Times New Roman" w:hAnsi="Times New Roman" w:cs="Times New Roman"/>
          <w:sz w:val="24"/>
          <w:szCs w:val="24"/>
          <w:vertAlign w:val="superscript"/>
        </w:rPr>
        <w:footnoteReference w:id="17"/>
      </w:r>
      <w:r w:rsidR="00B060EB">
        <w:rPr>
          <w:rFonts w:ascii="Times New Roman" w:eastAsia="Times New Roman" w:hAnsi="Times New Roman" w:cs="Times New Roman"/>
          <w:sz w:val="24"/>
          <w:szCs w:val="24"/>
        </w:rPr>
        <w:t xml:space="preserve"> This test asks first, that the plaintiff must show that a minority group is sufficiently large and geographically compact to constitute a majority in a district. If and only if this is satisfied, the test proceeds. The second prong is that the minority group must be politically cohesive. Third, the plaintiff must prove that the white majority in the district votes as a bloc, and that they vote in a sufficient manner to enable them to defeat the minority-preferred candidates.</w:t>
      </w:r>
      <w:r w:rsidR="008A755D">
        <w:rPr>
          <w:rFonts w:ascii="Times New Roman" w:eastAsia="Times New Roman" w:hAnsi="Times New Roman" w:cs="Times New Roman"/>
          <w:sz w:val="24"/>
          <w:szCs w:val="24"/>
        </w:rPr>
        <w:t xml:space="preserve"> These </w:t>
      </w:r>
      <w:r w:rsidR="008A755D">
        <w:rPr>
          <w:rFonts w:ascii="Times New Roman" w:eastAsia="Times New Roman" w:hAnsi="Times New Roman" w:cs="Times New Roman"/>
          <w:i/>
          <w:iCs/>
          <w:sz w:val="24"/>
          <w:szCs w:val="24"/>
        </w:rPr>
        <w:t xml:space="preserve">Gingles </w:t>
      </w:r>
      <w:r w:rsidR="008A755D">
        <w:rPr>
          <w:rFonts w:ascii="Times New Roman" w:eastAsia="Times New Roman" w:hAnsi="Times New Roman" w:cs="Times New Roman"/>
          <w:sz w:val="24"/>
          <w:szCs w:val="24"/>
        </w:rPr>
        <w:t xml:space="preserve">factors will be important when considering minority districts </w:t>
      </w:r>
      <w:r w:rsidR="008A755D">
        <w:rPr>
          <w:rFonts w:ascii="Times New Roman" w:eastAsia="Times New Roman" w:hAnsi="Times New Roman" w:cs="Times New Roman"/>
          <w:i/>
          <w:iCs/>
          <w:sz w:val="24"/>
          <w:szCs w:val="24"/>
        </w:rPr>
        <w:t>infra</w:t>
      </w:r>
      <w:r w:rsidR="008A755D">
        <w:rPr>
          <w:rFonts w:ascii="Times New Roman" w:eastAsia="Times New Roman" w:hAnsi="Times New Roman" w:cs="Times New Roman"/>
          <w:sz w:val="24"/>
          <w:szCs w:val="24"/>
        </w:rPr>
        <w:t>.</w:t>
      </w:r>
    </w:p>
    <w:bookmarkEnd w:id="2"/>
    <w:p w14:paraId="03495546" w14:textId="427F3272" w:rsidR="0081090A" w:rsidRDefault="003721DB">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Guiding Redistricting Principles</w:t>
      </w:r>
    </w:p>
    <w:p w14:paraId="049CA4F4" w14:textId="1EB75191" w:rsidR="00E36142" w:rsidRDefault="003721DB" w:rsidP="00AE1454">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plan </w:t>
      </w:r>
      <w:r w:rsidR="00BF57D5">
        <w:rPr>
          <w:rFonts w:ascii="Times New Roman" w:eastAsia="Times New Roman" w:hAnsi="Times New Roman" w:cs="Times New Roman"/>
          <w:sz w:val="24"/>
          <w:szCs w:val="24"/>
        </w:rPr>
        <w:t>begins with</w:t>
      </w:r>
      <w:r w:rsidR="00D84CA4">
        <w:rPr>
          <w:rFonts w:ascii="Times New Roman" w:eastAsia="Times New Roman" w:hAnsi="Times New Roman" w:cs="Times New Roman"/>
          <w:sz w:val="24"/>
          <w:szCs w:val="24"/>
        </w:rPr>
        <w:t xml:space="preserve"> the </w:t>
      </w:r>
      <w:r w:rsidR="00BF57D5">
        <w:rPr>
          <w:rFonts w:ascii="Times New Roman" w:eastAsia="Times New Roman" w:hAnsi="Times New Roman" w:cs="Times New Roman"/>
          <w:sz w:val="24"/>
          <w:szCs w:val="24"/>
        </w:rPr>
        <w:t xml:space="preserve">required </w:t>
      </w:r>
      <w:r w:rsidR="00D84CA4">
        <w:rPr>
          <w:rFonts w:ascii="Times New Roman" w:eastAsia="Times New Roman" w:hAnsi="Times New Roman" w:cs="Times New Roman"/>
          <w:sz w:val="24"/>
          <w:szCs w:val="24"/>
        </w:rPr>
        <w:t xml:space="preserve">starting grid and prioritizes </w:t>
      </w:r>
      <w:r>
        <w:rPr>
          <w:rFonts w:ascii="Times New Roman" w:eastAsia="Times New Roman" w:hAnsi="Times New Roman" w:cs="Times New Roman"/>
          <w:sz w:val="24"/>
          <w:szCs w:val="24"/>
        </w:rPr>
        <w:t xml:space="preserve">keeping communities together. </w:t>
      </w:r>
      <w:r w:rsidR="00366585">
        <w:rPr>
          <w:rFonts w:ascii="Times New Roman" w:eastAsia="Times New Roman" w:hAnsi="Times New Roman" w:cs="Times New Roman"/>
          <w:sz w:val="24"/>
          <w:szCs w:val="24"/>
        </w:rPr>
        <w:t xml:space="preserve">For example, in the current 2011 congressional plan, the city of Tucson is split. This </w:t>
      </w:r>
      <w:r w:rsidR="002E049D">
        <w:rPr>
          <w:rFonts w:ascii="Times New Roman" w:eastAsia="Times New Roman" w:hAnsi="Times New Roman" w:cs="Times New Roman"/>
          <w:sz w:val="24"/>
          <w:szCs w:val="24"/>
        </w:rPr>
        <w:t xml:space="preserve">proposed </w:t>
      </w:r>
      <w:r w:rsidR="00366585">
        <w:rPr>
          <w:rFonts w:ascii="Times New Roman" w:eastAsia="Times New Roman" w:hAnsi="Times New Roman" w:cs="Times New Roman"/>
          <w:sz w:val="24"/>
          <w:szCs w:val="24"/>
        </w:rPr>
        <w:t xml:space="preserve">plan makes every effort to keep Tucson together. </w:t>
      </w:r>
      <w:r>
        <w:rPr>
          <w:rFonts w:ascii="Times New Roman" w:eastAsia="Times New Roman" w:hAnsi="Times New Roman" w:cs="Times New Roman"/>
          <w:sz w:val="24"/>
          <w:szCs w:val="24"/>
        </w:rPr>
        <w:t xml:space="preserve">It </w:t>
      </w:r>
      <w:r w:rsidR="00D84CA4">
        <w:rPr>
          <w:rFonts w:ascii="Times New Roman" w:eastAsia="Times New Roman" w:hAnsi="Times New Roman" w:cs="Times New Roman"/>
          <w:sz w:val="24"/>
          <w:szCs w:val="24"/>
        </w:rPr>
        <w:t xml:space="preserve">further </w:t>
      </w:r>
      <w:r>
        <w:rPr>
          <w:rFonts w:ascii="Times New Roman" w:eastAsia="Times New Roman" w:hAnsi="Times New Roman" w:cs="Times New Roman"/>
          <w:sz w:val="24"/>
          <w:szCs w:val="24"/>
        </w:rPr>
        <w:t xml:space="preserve">attempts to avoid </w:t>
      </w:r>
      <w:r w:rsidR="00D84CA4">
        <w:rPr>
          <w:rFonts w:ascii="Times New Roman" w:eastAsia="Times New Roman" w:hAnsi="Times New Roman" w:cs="Times New Roman"/>
          <w:sz w:val="24"/>
          <w:szCs w:val="24"/>
        </w:rPr>
        <w:t xml:space="preserve">splitting </w:t>
      </w:r>
      <w:r>
        <w:rPr>
          <w:rFonts w:ascii="Times New Roman" w:eastAsia="Times New Roman" w:hAnsi="Times New Roman" w:cs="Times New Roman"/>
          <w:sz w:val="24"/>
          <w:szCs w:val="24"/>
        </w:rPr>
        <w:t xml:space="preserve">counties where possible. </w:t>
      </w:r>
      <w:r w:rsidR="00E578F6">
        <w:rPr>
          <w:rFonts w:ascii="Times New Roman" w:eastAsia="Times New Roman" w:hAnsi="Times New Roman" w:cs="Times New Roman"/>
          <w:sz w:val="24"/>
          <w:szCs w:val="24"/>
        </w:rPr>
        <w:t xml:space="preserve">Lastly, in almost all </w:t>
      </w:r>
      <w:r w:rsidR="00AE1454">
        <w:rPr>
          <w:rFonts w:ascii="Times New Roman" w:eastAsia="Times New Roman" w:hAnsi="Times New Roman" w:cs="Times New Roman"/>
          <w:sz w:val="24"/>
          <w:szCs w:val="24"/>
        </w:rPr>
        <w:t>districts</w:t>
      </w:r>
      <w:r w:rsidR="00E578F6">
        <w:rPr>
          <w:rFonts w:ascii="Times New Roman" w:eastAsia="Times New Roman" w:hAnsi="Times New Roman" w:cs="Times New Roman"/>
          <w:sz w:val="24"/>
          <w:szCs w:val="24"/>
        </w:rPr>
        <w:t xml:space="preserve"> it strives to keep Native American Reservations whole</w:t>
      </w:r>
      <w:r>
        <w:rPr>
          <w:rFonts w:ascii="Times New Roman" w:eastAsia="Times New Roman" w:hAnsi="Times New Roman" w:cs="Times New Roman"/>
          <w:sz w:val="24"/>
          <w:szCs w:val="24"/>
        </w:rPr>
        <w:t>.</w:t>
      </w:r>
      <w:r w:rsidR="00EF4727">
        <w:rPr>
          <w:rFonts w:ascii="Times New Roman" w:eastAsia="Times New Roman" w:hAnsi="Times New Roman" w:cs="Times New Roman"/>
          <w:sz w:val="24"/>
          <w:szCs w:val="24"/>
        </w:rPr>
        <w:t xml:space="preserve"> In yet another </w:t>
      </w:r>
      <w:r w:rsidR="00AE1454">
        <w:rPr>
          <w:rFonts w:ascii="Times New Roman" w:eastAsia="Times New Roman" w:hAnsi="Times New Roman" w:cs="Times New Roman"/>
          <w:sz w:val="24"/>
          <w:szCs w:val="24"/>
        </w:rPr>
        <w:t xml:space="preserve">court </w:t>
      </w:r>
      <w:r w:rsidR="00EF4727">
        <w:rPr>
          <w:rFonts w:ascii="Times New Roman" w:eastAsia="Times New Roman" w:hAnsi="Times New Roman" w:cs="Times New Roman"/>
          <w:sz w:val="24"/>
          <w:szCs w:val="24"/>
        </w:rPr>
        <w:t xml:space="preserve">case, </w:t>
      </w:r>
      <w:r w:rsidR="00EF4727">
        <w:rPr>
          <w:rFonts w:ascii="Times New Roman" w:eastAsia="Times New Roman" w:hAnsi="Times New Roman" w:cs="Times New Roman"/>
          <w:i/>
          <w:sz w:val="24"/>
          <w:szCs w:val="24"/>
        </w:rPr>
        <w:t>Tennant v. Jefferson County Commission</w:t>
      </w:r>
      <w:r w:rsidR="00EF4727">
        <w:rPr>
          <w:rFonts w:ascii="Times New Roman" w:eastAsia="Times New Roman" w:hAnsi="Times New Roman" w:cs="Times New Roman"/>
          <w:sz w:val="24"/>
          <w:szCs w:val="24"/>
        </w:rPr>
        <w:t>, the Supreme Court</w:t>
      </w:r>
      <w:r w:rsidR="00EF4727">
        <w:rPr>
          <w:rFonts w:ascii="Times New Roman" w:eastAsia="Times New Roman" w:hAnsi="Times New Roman" w:cs="Times New Roman"/>
          <w:i/>
          <w:sz w:val="24"/>
          <w:szCs w:val="24"/>
        </w:rPr>
        <w:t xml:space="preserve"> </w:t>
      </w:r>
      <w:r w:rsidR="00EF4727">
        <w:rPr>
          <w:rFonts w:ascii="Times New Roman" w:eastAsia="Times New Roman" w:hAnsi="Times New Roman" w:cs="Times New Roman"/>
          <w:sz w:val="24"/>
          <w:szCs w:val="24"/>
        </w:rPr>
        <w:t>held that districts need not have perfect population equality so long as they consistently respect political subdivision lines.</w:t>
      </w:r>
      <w:r w:rsidR="00EF4727">
        <w:rPr>
          <w:rFonts w:ascii="Times New Roman" w:eastAsia="Times New Roman" w:hAnsi="Times New Roman" w:cs="Times New Roman"/>
          <w:sz w:val="24"/>
          <w:szCs w:val="24"/>
          <w:vertAlign w:val="superscript"/>
        </w:rPr>
        <w:footnoteReference w:id="18"/>
      </w:r>
      <w:r w:rsidR="00EF4727">
        <w:rPr>
          <w:rFonts w:ascii="Times New Roman" w:eastAsia="Times New Roman" w:hAnsi="Times New Roman" w:cs="Times New Roman"/>
          <w:sz w:val="24"/>
          <w:szCs w:val="24"/>
        </w:rPr>
        <w:t xml:space="preserve"> In other words, so long as cities and counties are not split, the Court will allow some deviation. However, in the case of Arizona</w:t>
      </w:r>
      <w:r w:rsidR="00AE1454">
        <w:rPr>
          <w:rFonts w:ascii="Times New Roman" w:eastAsia="Times New Roman" w:hAnsi="Times New Roman" w:cs="Times New Roman"/>
          <w:sz w:val="24"/>
          <w:szCs w:val="24"/>
        </w:rPr>
        <w:t xml:space="preserve"> (and indeed in </w:t>
      </w:r>
      <w:r w:rsidR="00AE1454">
        <w:rPr>
          <w:rFonts w:ascii="Times New Roman" w:eastAsia="Times New Roman" w:hAnsi="Times New Roman" w:cs="Times New Roman"/>
          <w:sz w:val="24"/>
          <w:szCs w:val="24"/>
        </w:rPr>
        <w:lastRenderedPageBreak/>
        <w:t>most states)</w:t>
      </w:r>
      <w:r w:rsidR="00EF4727">
        <w:rPr>
          <w:rFonts w:ascii="Times New Roman" w:eastAsia="Times New Roman" w:hAnsi="Times New Roman" w:cs="Times New Roman"/>
          <w:sz w:val="24"/>
          <w:szCs w:val="24"/>
        </w:rPr>
        <w:t xml:space="preserve">, it is nigh-impossible to consistently achieve this. For example, a </w:t>
      </w:r>
      <w:r w:rsidR="00EF4727">
        <w:rPr>
          <w:rFonts w:ascii="Times New Roman" w:eastAsia="Times New Roman" w:hAnsi="Times New Roman" w:cs="Times New Roman"/>
          <w:i/>
          <w:sz w:val="24"/>
          <w:szCs w:val="24"/>
        </w:rPr>
        <w:t>Tennant</w:t>
      </w:r>
      <w:r w:rsidR="00EF4727">
        <w:rPr>
          <w:rFonts w:ascii="Times New Roman" w:eastAsia="Times New Roman" w:hAnsi="Times New Roman" w:cs="Times New Roman"/>
          <w:sz w:val="24"/>
          <w:szCs w:val="24"/>
        </w:rPr>
        <w:t xml:space="preserve"> approach would not split the city of Phoenix, which has a population in excess of 1.6 million people. The Court would certainly not allow a deviation of such magnitude when the city of Phoenix has enough people to compose more than two districts.</w:t>
      </w:r>
    </w:p>
    <w:p w14:paraId="055BD69E" w14:textId="49AF202B" w:rsidR="0081090A" w:rsidRDefault="003721DB">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Tensions and Trade-Offs</w:t>
      </w:r>
    </w:p>
    <w:p w14:paraId="4E68A053" w14:textId="4172F790" w:rsidR="00E36142" w:rsidRPr="00B060EB" w:rsidRDefault="003721DB" w:rsidP="00E36142">
      <w:pPr>
        <w:numPr>
          <w:ilvl w:val="2"/>
          <w:numId w:val="3"/>
        </w:numPr>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Demographic</w:t>
      </w:r>
    </w:p>
    <w:p w14:paraId="1CA1F5BD" w14:textId="11F595B2" w:rsidR="00B060EB" w:rsidRDefault="00B060EB" w:rsidP="00274556">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anchor distT="0" distB="0" distL="114300" distR="114300" simplePos="0" relativeHeight="251657728" behindDoc="0" locked="0" layoutInCell="1" allowOverlap="1" wp14:anchorId="7C574C36" wp14:editId="0013E60B">
            <wp:simplePos x="0" y="0"/>
            <wp:positionH relativeFrom="margin">
              <wp:align>right</wp:align>
            </wp:positionH>
            <wp:positionV relativeFrom="paragraph">
              <wp:posOffset>1910715</wp:posOffset>
            </wp:positionV>
            <wp:extent cx="5943600" cy="34836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a:extLst>
                        <a:ext uri="{28A0092B-C50C-407E-A947-70E740481C1C}">
                          <a14:useLocalDpi xmlns:a14="http://schemas.microsoft.com/office/drawing/2010/main" val="0"/>
                        </a:ext>
                      </a:extLst>
                    </a:blip>
                    <a:srcRect l="50385"/>
                    <a:stretch/>
                  </pic:blipFill>
                  <pic:spPr bwMode="auto">
                    <a:xfrm>
                      <a:off x="0" y="0"/>
                      <a:ext cx="5943600" cy="348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454">
        <w:rPr>
          <w:rFonts w:ascii="Times New Roman" w:eastAsia="Times New Roman" w:hAnsi="Times New Roman" w:cs="Times New Roman"/>
          <w:sz w:val="24"/>
          <w:szCs w:val="24"/>
        </w:rPr>
        <w:t xml:space="preserve">The first tension that this plan had to address was that of demographics. </w:t>
      </w:r>
      <w:r>
        <w:rPr>
          <w:rFonts w:ascii="Times New Roman" w:eastAsia="Times New Roman" w:hAnsi="Times New Roman" w:cs="Times New Roman"/>
          <w:sz w:val="24"/>
          <w:szCs w:val="24"/>
        </w:rPr>
        <w:t>Below</w:t>
      </w:r>
      <w:r w:rsidR="00E36142">
        <w:rPr>
          <w:rFonts w:ascii="Times New Roman" w:eastAsia="Times New Roman" w:hAnsi="Times New Roman" w:cs="Times New Roman"/>
          <w:sz w:val="24"/>
          <w:szCs w:val="24"/>
        </w:rPr>
        <w:t xml:space="preserve"> </w:t>
      </w:r>
      <w:r w:rsidR="007C6CBB">
        <w:rPr>
          <w:rFonts w:ascii="Times New Roman" w:eastAsia="Times New Roman" w:hAnsi="Times New Roman" w:cs="Times New Roman"/>
          <w:sz w:val="24"/>
          <w:szCs w:val="24"/>
        </w:rPr>
        <w:t xml:space="preserve">is the demographic </w:t>
      </w:r>
      <w:r w:rsidR="00E36142">
        <w:rPr>
          <w:rFonts w:ascii="Times New Roman" w:eastAsia="Times New Roman" w:hAnsi="Times New Roman" w:cs="Times New Roman"/>
          <w:sz w:val="24"/>
          <w:szCs w:val="24"/>
        </w:rPr>
        <w:t>data for Arizona’</w:t>
      </w:r>
      <w:r w:rsidR="007C6CBB">
        <w:rPr>
          <w:rFonts w:ascii="Times New Roman" w:eastAsia="Times New Roman" w:hAnsi="Times New Roman" w:cs="Times New Roman"/>
          <w:sz w:val="24"/>
          <w:szCs w:val="24"/>
        </w:rPr>
        <w:t>s proposed</w:t>
      </w:r>
      <w:r>
        <w:rPr>
          <w:rFonts w:ascii="Times New Roman" w:eastAsia="Times New Roman" w:hAnsi="Times New Roman" w:cs="Times New Roman"/>
          <w:sz w:val="24"/>
          <w:szCs w:val="24"/>
        </w:rPr>
        <w:t xml:space="preserve"> 2021</w:t>
      </w:r>
      <w:r w:rsidR="007C6CBB">
        <w:rPr>
          <w:rFonts w:ascii="Times New Roman" w:eastAsia="Times New Roman" w:hAnsi="Times New Roman" w:cs="Times New Roman"/>
          <w:sz w:val="24"/>
          <w:szCs w:val="24"/>
        </w:rPr>
        <w:t xml:space="preserve"> congressional map, based on the </w:t>
      </w:r>
      <w:r w:rsidR="00E36142">
        <w:rPr>
          <w:rFonts w:ascii="Times New Roman" w:eastAsia="Times New Roman" w:hAnsi="Times New Roman" w:cs="Times New Roman"/>
          <w:sz w:val="24"/>
          <w:szCs w:val="24"/>
        </w:rPr>
        <w:t>2020 population</w:t>
      </w:r>
      <w:r w:rsidR="007C6CBB">
        <w:rPr>
          <w:rFonts w:ascii="Times New Roman" w:eastAsia="Times New Roman" w:hAnsi="Times New Roman" w:cs="Times New Roman"/>
          <w:sz w:val="24"/>
          <w:szCs w:val="24"/>
        </w:rPr>
        <w:t>.</w:t>
      </w:r>
      <w:r w:rsidR="00634681">
        <w:rPr>
          <w:rStyle w:val="FootnoteReference"/>
          <w:rFonts w:ascii="Times New Roman" w:eastAsia="Times New Roman" w:hAnsi="Times New Roman" w:cs="Times New Roman"/>
          <w:sz w:val="24"/>
          <w:szCs w:val="24"/>
        </w:rPr>
        <w:footnoteReference w:id="19"/>
      </w:r>
      <w:r w:rsidR="00274556">
        <w:rPr>
          <w:rFonts w:ascii="Times New Roman" w:eastAsia="Times New Roman" w:hAnsi="Times New Roman" w:cs="Times New Roman"/>
          <w:sz w:val="24"/>
          <w:szCs w:val="24"/>
        </w:rPr>
        <w:t xml:space="preserve"> </w:t>
      </w:r>
      <w:r w:rsidR="00587C80">
        <w:rPr>
          <w:rFonts w:ascii="Times New Roman" w:eastAsia="Times New Roman" w:hAnsi="Times New Roman" w:cs="Times New Roman"/>
          <w:sz w:val="24"/>
          <w:szCs w:val="24"/>
        </w:rPr>
        <w:t>In the demographic context, i</w:t>
      </w:r>
      <w:r>
        <w:rPr>
          <w:rFonts w:ascii="Times New Roman" w:eastAsia="Times New Roman" w:hAnsi="Times New Roman" w:cs="Times New Roman"/>
          <w:sz w:val="24"/>
          <w:szCs w:val="24"/>
        </w:rPr>
        <w:t>t is important to look at the proposed 2021 plan in order to</w:t>
      </w:r>
      <w:r w:rsidR="00587C80">
        <w:rPr>
          <w:rFonts w:ascii="Times New Roman" w:eastAsia="Times New Roman" w:hAnsi="Times New Roman" w:cs="Times New Roman"/>
          <w:sz w:val="24"/>
          <w:szCs w:val="24"/>
        </w:rPr>
        <w:t xml:space="preserve"> ensure that population comparisons are accurate when</w:t>
      </w:r>
      <w:r>
        <w:rPr>
          <w:rFonts w:ascii="Times New Roman" w:eastAsia="Times New Roman" w:hAnsi="Times New Roman" w:cs="Times New Roman"/>
          <w:sz w:val="24"/>
          <w:szCs w:val="24"/>
        </w:rPr>
        <w:t xml:space="preserve"> assess</w:t>
      </w:r>
      <w:r w:rsidR="00587C80">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whether the</w:t>
      </w:r>
      <w:r w:rsidR="00587C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plan being put forward in this paper is more effective than the plan currently being considered by the state. </w:t>
      </w:r>
    </w:p>
    <w:p w14:paraId="0942AE9D" w14:textId="7191B0AD" w:rsidR="0081090A" w:rsidRDefault="007C6CBB" w:rsidP="00E36142">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Looking to the bottom row, we see that Hispanics are the largest minority group </w:t>
      </w:r>
      <w:r w:rsidR="00587C80">
        <w:rPr>
          <w:rFonts w:ascii="Times New Roman" w:eastAsia="Times New Roman" w:hAnsi="Times New Roman" w:cs="Times New Roman"/>
          <w:sz w:val="24"/>
          <w:szCs w:val="24"/>
        </w:rPr>
        <w:t xml:space="preserve">on average </w:t>
      </w:r>
      <w:r>
        <w:rPr>
          <w:rFonts w:ascii="Times New Roman" w:eastAsia="Times New Roman" w:hAnsi="Times New Roman" w:cs="Times New Roman"/>
          <w:sz w:val="24"/>
          <w:szCs w:val="24"/>
        </w:rPr>
        <w:t>in the state. Because of</w:t>
      </w:r>
      <w:r w:rsidR="003721DB">
        <w:rPr>
          <w:rFonts w:ascii="Times New Roman" w:eastAsia="Times New Roman" w:hAnsi="Times New Roman" w:cs="Times New Roman"/>
          <w:sz w:val="24"/>
          <w:szCs w:val="24"/>
        </w:rPr>
        <w:t xml:space="preserve"> their large population, the Hispanic population in Arizona will satisfy the numerosity requirement of </w:t>
      </w:r>
      <w:r w:rsidR="003721DB">
        <w:rPr>
          <w:rFonts w:ascii="Times New Roman" w:eastAsia="Times New Roman" w:hAnsi="Times New Roman" w:cs="Times New Roman"/>
          <w:i/>
          <w:sz w:val="24"/>
          <w:szCs w:val="24"/>
        </w:rPr>
        <w:t>Gingles</w:t>
      </w:r>
      <w:r w:rsidR="003721DB">
        <w:rPr>
          <w:rFonts w:ascii="Times New Roman" w:eastAsia="Times New Roman" w:hAnsi="Times New Roman" w:cs="Times New Roman"/>
          <w:sz w:val="24"/>
          <w:szCs w:val="24"/>
        </w:rPr>
        <w:t>’</w:t>
      </w:r>
      <w:r w:rsidR="00A11829">
        <w:rPr>
          <w:rFonts w:ascii="Times New Roman" w:eastAsia="Times New Roman" w:hAnsi="Times New Roman" w:cs="Times New Roman"/>
          <w:sz w:val="24"/>
          <w:szCs w:val="24"/>
        </w:rPr>
        <w:t>s</w:t>
      </w:r>
      <w:r w:rsidR="003721DB">
        <w:rPr>
          <w:rFonts w:ascii="Times New Roman" w:eastAsia="Times New Roman" w:hAnsi="Times New Roman" w:cs="Times New Roman"/>
          <w:sz w:val="24"/>
          <w:szCs w:val="24"/>
        </w:rPr>
        <w:t xml:space="preserve"> first prong.</w:t>
      </w:r>
      <w:r>
        <w:rPr>
          <w:rFonts w:ascii="Times New Roman" w:eastAsia="Times New Roman" w:hAnsi="Times New Roman" w:cs="Times New Roman"/>
          <w:sz w:val="24"/>
          <w:szCs w:val="24"/>
        </w:rPr>
        <w:t xml:space="preserve"> However, compactness is more difficult to prove. While there is certainly a compact Hispanic population in </w:t>
      </w:r>
      <w:r w:rsidR="00CB6A73">
        <w:rPr>
          <w:rFonts w:ascii="Times New Roman" w:eastAsia="Times New Roman" w:hAnsi="Times New Roman" w:cs="Times New Roman"/>
          <w:sz w:val="24"/>
          <w:szCs w:val="24"/>
        </w:rPr>
        <w:t>District 8</w:t>
      </w:r>
      <w:r w:rsidR="00AA34A7">
        <w:rPr>
          <w:rFonts w:ascii="Times New Roman" w:eastAsia="Times New Roman" w:hAnsi="Times New Roman" w:cs="Times New Roman"/>
          <w:sz w:val="24"/>
          <w:szCs w:val="24"/>
        </w:rPr>
        <w:t xml:space="preserve"> (in the areas surrounding the Salt River in Phoenix</w:t>
      </w:r>
      <w:r w:rsidR="00A11829">
        <w:rPr>
          <w:rFonts w:ascii="Times New Roman" w:eastAsia="Times New Roman" w:hAnsi="Times New Roman" w:cs="Times New Roman"/>
          <w:sz w:val="24"/>
          <w:szCs w:val="24"/>
        </w:rPr>
        <w:t xml:space="preserve">, seen </w:t>
      </w:r>
      <w:r w:rsidR="00A11829">
        <w:rPr>
          <w:rFonts w:ascii="Times New Roman" w:eastAsia="Times New Roman" w:hAnsi="Times New Roman" w:cs="Times New Roman"/>
          <w:i/>
          <w:iCs/>
          <w:sz w:val="24"/>
          <w:szCs w:val="24"/>
        </w:rPr>
        <w:t>infra</w:t>
      </w:r>
      <w:r w:rsidR="00AA34A7">
        <w:rPr>
          <w:rFonts w:ascii="Times New Roman" w:eastAsia="Times New Roman" w:hAnsi="Times New Roman" w:cs="Times New Roman"/>
          <w:sz w:val="24"/>
          <w:szCs w:val="24"/>
        </w:rPr>
        <w:t>), drawing a compact district around the other</w:t>
      </w:r>
      <w:r w:rsidR="00274556">
        <w:rPr>
          <w:rFonts w:ascii="Times New Roman" w:eastAsia="Times New Roman" w:hAnsi="Times New Roman" w:cs="Times New Roman"/>
          <w:sz w:val="24"/>
          <w:szCs w:val="24"/>
        </w:rPr>
        <w:t xml:space="preserve"> Hispanic</w:t>
      </w:r>
      <w:r w:rsidR="00AA34A7">
        <w:rPr>
          <w:rFonts w:ascii="Times New Roman" w:eastAsia="Times New Roman" w:hAnsi="Times New Roman" w:cs="Times New Roman"/>
          <w:sz w:val="24"/>
          <w:szCs w:val="24"/>
        </w:rPr>
        <w:t xml:space="preserve"> communities required some creativity. Below is a heatmap of the Hispanic population in Arizona by voting district. Darker blue areas represent those that have higher concentrations of Hispanic-identifying individuals:</w:t>
      </w:r>
    </w:p>
    <w:p w14:paraId="61DB341F" w14:textId="67036030" w:rsidR="00E36142" w:rsidRDefault="001A7F19" w:rsidP="00137671">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752" behindDoc="0" locked="0" layoutInCell="1" allowOverlap="1" wp14:anchorId="71560875" wp14:editId="078DFD30">
            <wp:simplePos x="0" y="0"/>
            <wp:positionH relativeFrom="margin">
              <wp:align>center</wp:align>
            </wp:positionH>
            <wp:positionV relativeFrom="paragraph">
              <wp:posOffset>252095</wp:posOffset>
            </wp:positionV>
            <wp:extent cx="5455920" cy="65659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a:extLst>
                        <a:ext uri="{28A0092B-C50C-407E-A947-70E740481C1C}">
                          <a14:useLocalDpi xmlns:a14="http://schemas.microsoft.com/office/drawing/2010/main" val="0"/>
                        </a:ext>
                      </a:extLst>
                    </a:blip>
                    <a:srcRect l="2335" t="504" r="3168" b="1280"/>
                    <a:stretch/>
                  </pic:blipFill>
                  <pic:spPr bwMode="auto">
                    <a:xfrm>
                      <a:off x="0" y="0"/>
                      <a:ext cx="5455920" cy="656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C89B5" w14:textId="34385F82" w:rsidR="002E3028" w:rsidRDefault="00466F24" w:rsidP="002E3028">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concentrations of Hispanic populations can be found in southeastern Cochise county, </w:t>
      </w:r>
      <w:r w:rsidR="00CF2F3C">
        <w:rPr>
          <w:rFonts w:ascii="Times New Roman" w:eastAsia="Times New Roman" w:hAnsi="Times New Roman" w:cs="Times New Roman"/>
          <w:sz w:val="24"/>
          <w:szCs w:val="24"/>
        </w:rPr>
        <w:t xml:space="preserve">southern </w:t>
      </w:r>
      <w:r>
        <w:rPr>
          <w:rFonts w:ascii="Times New Roman" w:eastAsia="Times New Roman" w:hAnsi="Times New Roman" w:cs="Times New Roman"/>
          <w:sz w:val="24"/>
          <w:szCs w:val="24"/>
        </w:rPr>
        <w:t>Santa Cruz county, and western Yuma county.</w:t>
      </w:r>
      <w:r w:rsidR="001A310F">
        <w:rPr>
          <w:rFonts w:ascii="Times New Roman" w:eastAsia="Times New Roman" w:hAnsi="Times New Roman" w:cs="Times New Roman"/>
          <w:sz w:val="24"/>
          <w:szCs w:val="24"/>
        </w:rPr>
        <w:t xml:space="preserve"> Such populations required</w:t>
      </w:r>
      <w:r>
        <w:rPr>
          <w:rFonts w:ascii="Times New Roman" w:eastAsia="Times New Roman" w:hAnsi="Times New Roman" w:cs="Times New Roman"/>
          <w:sz w:val="24"/>
          <w:szCs w:val="24"/>
        </w:rPr>
        <w:t xml:space="preserve"> a Hispanic-majority district to comply with </w:t>
      </w:r>
      <w:r w:rsidR="00363D1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ection 2 of the Voting Rights Act and with the second </w:t>
      </w:r>
      <w:r>
        <w:rPr>
          <w:rFonts w:ascii="Times New Roman" w:eastAsia="Times New Roman" w:hAnsi="Times New Roman" w:cs="Times New Roman"/>
          <w:sz w:val="24"/>
          <w:szCs w:val="24"/>
        </w:rPr>
        <w:lastRenderedPageBreak/>
        <w:t xml:space="preserve">prong of </w:t>
      </w:r>
      <w:r>
        <w:rPr>
          <w:rFonts w:ascii="Times New Roman" w:eastAsia="Times New Roman" w:hAnsi="Times New Roman" w:cs="Times New Roman"/>
          <w:i/>
          <w:iCs/>
          <w:sz w:val="24"/>
          <w:szCs w:val="24"/>
        </w:rPr>
        <w:t>Gingles</w:t>
      </w:r>
      <w:r>
        <w:rPr>
          <w:rFonts w:ascii="Times New Roman" w:eastAsia="Times New Roman" w:hAnsi="Times New Roman" w:cs="Times New Roman"/>
          <w:sz w:val="24"/>
          <w:szCs w:val="24"/>
        </w:rPr>
        <w:t xml:space="preserve">. Section 2 requires that districts be drawn that provide the state’s minority populations with the opportunity to elect representatives of their choice. In order to do this, District 2 takes an unusual shape, </w:t>
      </w:r>
      <w:r w:rsidR="00172189">
        <w:rPr>
          <w:rFonts w:ascii="Times New Roman" w:eastAsia="Times New Roman" w:hAnsi="Times New Roman" w:cs="Times New Roman"/>
          <w:sz w:val="24"/>
          <w:szCs w:val="24"/>
        </w:rPr>
        <w:t>stretching across</w:t>
      </w:r>
      <w:r>
        <w:rPr>
          <w:rFonts w:ascii="Times New Roman" w:eastAsia="Times New Roman" w:hAnsi="Times New Roman" w:cs="Times New Roman"/>
          <w:sz w:val="24"/>
          <w:szCs w:val="24"/>
        </w:rPr>
        <w:t xml:space="preserve"> almost the entirety of the southern border</w:t>
      </w:r>
      <w:r w:rsidR="00172189">
        <w:rPr>
          <w:rFonts w:ascii="Times New Roman" w:eastAsia="Times New Roman" w:hAnsi="Times New Roman" w:cs="Times New Roman"/>
          <w:sz w:val="24"/>
          <w:szCs w:val="24"/>
        </w:rPr>
        <w:t xml:space="preserve"> to reach the Hispanic population in Yuma</w:t>
      </w:r>
      <w:r>
        <w:rPr>
          <w:rFonts w:ascii="Times New Roman" w:eastAsia="Times New Roman" w:hAnsi="Times New Roman" w:cs="Times New Roman"/>
          <w:sz w:val="24"/>
          <w:szCs w:val="24"/>
        </w:rPr>
        <w:t xml:space="preserve">. </w:t>
      </w:r>
      <w:r w:rsidR="00320DE9">
        <w:rPr>
          <w:rFonts w:ascii="Times New Roman" w:eastAsia="Times New Roman" w:hAnsi="Times New Roman" w:cs="Times New Roman"/>
          <w:sz w:val="24"/>
          <w:szCs w:val="24"/>
        </w:rPr>
        <w:t xml:space="preserve">While this shape appears strange, it is important to note that the enacted 2011 plan </w:t>
      </w:r>
      <w:r w:rsidR="00122A00">
        <w:rPr>
          <w:rFonts w:ascii="Times New Roman" w:eastAsia="Times New Roman" w:hAnsi="Times New Roman" w:cs="Times New Roman"/>
          <w:sz w:val="24"/>
          <w:szCs w:val="24"/>
        </w:rPr>
        <w:t>(and indeed, most proposed Arizona plans) have this same feature; a single district covers a majority of the southern border, stopping west of Cochise county, near Sierra Vista. The main difference with this proposed plan is that District 2 does not extend north towards Phoenix. See District 3, in the enacted 2011 plan below:</w:t>
      </w:r>
    </w:p>
    <w:p w14:paraId="0B46EE36" w14:textId="77777777" w:rsidR="002E3028" w:rsidRDefault="002E302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A4FAD0B" w14:textId="2AC3F96C" w:rsidR="002E3028" w:rsidRDefault="002E3028" w:rsidP="002E3028">
      <w:pPr>
        <w:shd w:val="clear" w:color="auto" w:fill="FFFFFF"/>
        <w:spacing w:line="480" w:lineRule="auto"/>
        <w:ind w:firstLine="720"/>
        <w:rPr>
          <w:rFonts w:ascii="Times New Roman" w:eastAsia="Times New Roman" w:hAnsi="Times New Roman" w:cs="Times New Roman"/>
          <w:sz w:val="24"/>
          <w:szCs w:val="24"/>
        </w:rPr>
      </w:pPr>
      <w:r w:rsidRPr="00122A00">
        <w:rPr>
          <w:rFonts w:ascii="Times New Roman" w:eastAsia="Times New Roman" w:hAnsi="Times New Roman" w:cs="Times New Roman"/>
          <w:noProof/>
          <w:sz w:val="24"/>
          <w:szCs w:val="24"/>
        </w:rPr>
        <w:lastRenderedPageBreak/>
        <w:drawing>
          <wp:anchor distT="0" distB="0" distL="114300" distR="114300" simplePos="0" relativeHeight="251659776" behindDoc="1" locked="0" layoutInCell="1" allowOverlap="1" wp14:anchorId="5F6725AC" wp14:editId="455F2113">
            <wp:simplePos x="0" y="0"/>
            <wp:positionH relativeFrom="margin">
              <wp:align>center</wp:align>
            </wp:positionH>
            <wp:positionV relativeFrom="paragraph">
              <wp:posOffset>0</wp:posOffset>
            </wp:positionV>
            <wp:extent cx="6635750" cy="7658100"/>
            <wp:effectExtent l="0" t="0" r="0" b="0"/>
            <wp:wrapTopAndBottom/>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35750" cy="7658100"/>
                    </a:xfrm>
                    <a:prstGeom prst="rect">
                      <a:avLst/>
                    </a:prstGeom>
                  </pic:spPr>
                </pic:pic>
              </a:graphicData>
            </a:graphic>
            <wp14:sizeRelH relativeFrom="margin">
              <wp14:pctWidth>0</wp14:pctWidth>
            </wp14:sizeRelH>
            <wp14:sizeRelV relativeFrom="margin">
              <wp14:pctHeight>0</wp14:pctHeight>
            </wp14:sizeRelV>
          </wp:anchor>
        </w:drawing>
      </w:r>
    </w:p>
    <w:p w14:paraId="57361C47" w14:textId="6D849D15" w:rsidR="002E3028" w:rsidRDefault="002E3028">
      <w:pPr>
        <w:rPr>
          <w:rFonts w:ascii="Times New Roman" w:eastAsia="Times New Roman" w:hAnsi="Times New Roman" w:cs="Times New Roman"/>
          <w:sz w:val="24"/>
          <w:szCs w:val="24"/>
        </w:rPr>
      </w:pPr>
    </w:p>
    <w:p w14:paraId="740485BE" w14:textId="1853782A" w:rsidR="00254115" w:rsidRDefault="00172189" w:rsidP="002E3028">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Why not simply start in Santa Cruz and move east to Cochise? The second prong of </w:t>
      </w:r>
      <w:r>
        <w:rPr>
          <w:rFonts w:ascii="Times New Roman" w:eastAsia="Times New Roman" w:hAnsi="Times New Roman" w:cs="Times New Roman"/>
          <w:i/>
          <w:iCs/>
          <w:sz w:val="24"/>
          <w:szCs w:val="24"/>
        </w:rPr>
        <w:t xml:space="preserve">Gingles </w:t>
      </w:r>
      <w:r>
        <w:rPr>
          <w:rFonts w:ascii="Times New Roman" w:eastAsia="Times New Roman" w:hAnsi="Times New Roman" w:cs="Times New Roman"/>
          <w:sz w:val="24"/>
          <w:szCs w:val="24"/>
        </w:rPr>
        <w:t>requires that the minority community in question vote sufficiently as a bloc. The Hispanic population</w:t>
      </w:r>
      <w:r w:rsidR="000B6B8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w:t>
      </w:r>
      <w:r w:rsidR="008709E5">
        <w:rPr>
          <w:rFonts w:ascii="Times New Roman" w:eastAsia="Times New Roman" w:hAnsi="Times New Roman" w:cs="Times New Roman"/>
          <w:sz w:val="24"/>
          <w:szCs w:val="24"/>
        </w:rPr>
        <w:t>Yuma</w:t>
      </w:r>
      <w:r>
        <w:rPr>
          <w:rFonts w:ascii="Times New Roman" w:eastAsia="Times New Roman" w:hAnsi="Times New Roman" w:cs="Times New Roman"/>
          <w:sz w:val="24"/>
          <w:szCs w:val="24"/>
        </w:rPr>
        <w:t xml:space="preserve"> </w:t>
      </w:r>
      <w:r w:rsidR="008709E5">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more </w:t>
      </w:r>
      <w:r w:rsidR="008709E5">
        <w:rPr>
          <w:rFonts w:ascii="Times New Roman" w:eastAsia="Times New Roman" w:hAnsi="Times New Roman" w:cs="Times New Roman"/>
          <w:sz w:val="24"/>
          <w:szCs w:val="24"/>
        </w:rPr>
        <w:t xml:space="preserve">liberal </w:t>
      </w:r>
      <w:r>
        <w:rPr>
          <w:rFonts w:ascii="Times New Roman" w:eastAsia="Times New Roman" w:hAnsi="Times New Roman" w:cs="Times New Roman"/>
          <w:sz w:val="24"/>
          <w:szCs w:val="24"/>
        </w:rPr>
        <w:t xml:space="preserve">than those in </w:t>
      </w:r>
      <w:r w:rsidR="008709E5">
        <w:rPr>
          <w:rFonts w:ascii="Times New Roman" w:eastAsia="Times New Roman" w:hAnsi="Times New Roman" w:cs="Times New Roman"/>
          <w:sz w:val="24"/>
          <w:szCs w:val="24"/>
        </w:rPr>
        <w:t>Cochise</w:t>
      </w:r>
      <w:r>
        <w:rPr>
          <w:rFonts w:ascii="Times New Roman" w:eastAsia="Times New Roman" w:hAnsi="Times New Roman" w:cs="Times New Roman"/>
          <w:sz w:val="24"/>
          <w:szCs w:val="24"/>
        </w:rPr>
        <w:t xml:space="preserve">, and therefore </w:t>
      </w:r>
      <w:r w:rsidR="000B6B81">
        <w:rPr>
          <w:rFonts w:ascii="Times New Roman" w:eastAsia="Times New Roman" w:hAnsi="Times New Roman" w:cs="Times New Roman"/>
          <w:sz w:val="24"/>
          <w:szCs w:val="24"/>
        </w:rPr>
        <w:t>keep</w:t>
      </w:r>
      <w:r>
        <w:rPr>
          <w:rFonts w:ascii="Times New Roman" w:eastAsia="Times New Roman" w:hAnsi="Times New Roman" w:cs="Times New Roman"/>
          <w:sz w:val="24"/>
          <w:szCs w:val="24"/>
        </w:rPr>
        <w:t xml:space="preserve"> the voting bloc</w:t>
      </w:r>
      <w:r w:rsidR="000B6B81">
        <w:rPr>
          <w:rFonts w:ascii="Times New Roman" w:eastAsia="Times New Roman" w:hAnsi="Times New Roman" w:cs="Times New Roman"/>
          <w:sz w:val="24"/>
          <w:szCs w:val="24"/>
        </w:rPr>
        <w:t xml:space="preserve"> consistent</w:t>
      </w:r>
      <w:r>
        <w:rPr>
          <w:rFonts w:ascii="Times New Roman" w:eastAsia="Times New Roman" w:hAnsi="Times New Roman" w:cs="Times New Roman"/>
          <w:sz w:val="24"/>
          <w:szCs w:val="24"/>
        </w:rPr>
        <w:t>.</w:t>
      </w:r>
      <w:r w:rsidR="00E93066">
        <w:rPr>
          <w:rStyle w:val="FootnoteReference"/>
          <w:rFonts w:ascii="Times New Roman" w:eastAsia="Times New Roman" w:hAnsi="Times New Roman" w:cs="Times New Roman"/>
          <w:sz w:val="24"/>
          <w:szCs w:val="24"/>
        </w:rPr>
        <w:footnoteReference w:id="20"/>
      </w:r>
      <w:r>
        <w:rPr>
          <w:rFonts w:ascii="Times New Roman" w:eastAsia="Times New Roman" w:hAnsi="Times New Roman" w:cs="Times New Roman"/>
          <w:sz w:val="24"/>
          <w:szCs w:val="24"/>
        </w:rPr>
        <w:t xml:space="preserve"> </w:t>
      </w:r>
      <w:r w:rsidR="000B6B81">
        <w:rPr>
          <w:rFonts w:ascii="Times New Roman" w:eastAsia="Times New Roman" w:hAnsi="Times New Roman" w:cs="Times New Roman"/>
          <w:sz w:val="24"/>
          <w:szCs w:val="24"/>
        </w:rPr>
        <w:t xml:space="preserve">If the district moved east to Cochise, it would spoil the otherwise </w:t>
      </w:r>
      <w:r w:rsidR="008F133E">
        <w:rPr>
          <w:rFonts w:ascii="Times New Roman" w:eastAsia="Times New Roman" w:hAnsi="Times New Roman" w:cs="Times New Roman"/>
          <w:sz w:val="24"/>
          <w:szCs w:val="24"/>
        </w:rPr>
        <w:t>cohesive</w:t>
      </w:r>
      <w:r w:rsidR="000B6B81">
        <w:rPr>
          <w:rFonts w:ascii="Times New Roman" w:eastAsia="Times New Roman" w:hAnsi="Times New Roman" w:cs="Times New Roman"/>
          <w:sz w:val="24"/>
          <w:szCs w:val="24"/>
        </w:rPr>
        <w:t xml:space="preserve"> bloc. </w:t>
      </w:r>
      <w:r>
        <w:rPr>
          <w:rFonts w:ascii="Times New Roman" w:eastAsia="Times New Roman" w:hAnsi="Times New Roman" w:cs="Times New Roman"/>
          <w:sz w:val="24"/>
          <w:szCs w:val="24"/>
        </w:rPr>
        <w:t xml:space="preserve">The state’s </w:t>
      </w:r>
      <w:r w:rsidR="00BD2855">
        <w:rPr>
          <w:rFonts w:ascii="Times New Roman" w:eastAsia="Times New Roman" w:hAnsi="Times New Roman" w:cs="Times New Roman"/>
          <w:sz w:val="24"/>
          <w:szCs w:val="24"/>
        </w:rPr>
        <w:t xml:space="preserve">2021 </w:t>
      </w:r>
      <w:r>
        <w:rPr>
          <w:rFonts w:ascii="Times New Roman" w:eastAsia="Times New Roman" w:hAnsi="Times New Roman" w:cs="Times New Roman"/>
          <w:sz w:val="24"/>
          <w:szCs w:val="24"/>
        </w:rPr>
        <w:t xml:space="preserve">proposed </w:t>
      </w:r>
      <w:r w:rsidR="00254115" w:rsidRPr="00254115">
        <w:rPr>
          <w:rFonts w:ascii="Times New Roman" w:eastAsia="Times New Roman" w:hAnsi="Times New Roman" w:cs="Times New Roman"/>
          <w:sz w:val="24"/>
          <w:szCs w:val="24"/>
        </w:rPr>
        <w:t xml:space="preserve">plan has two majority </w:t>
      </w:r>
      <w:r w:rsidRPr="00254115">
        <w:rPr>
          <w:rFonts w:ascii="Times New Roman" w:eastAsia="Times New Roman" w:hAnsi="Times New Roman" w:cs="Times New Roman"/>
          <w:sz w:val="24"/>
          <w:szCs w:val="24"/>
        </w:rPr>
        <w:t>Hispanic</w:t>
      </w:r>
      <w:r w:rsidR="00254115" w:rsidRPr="00254115">
        <w:rPr>
          <w:rFonts w:ascii="Times New Roman" w:eastAsia="Times New Roman" w:hAnsi="Times New Roman" w:cs="Times New Roman"/>
          <w:sz w:val="24"/>
          <w:szCs w:val="24"/>
        </w:rPr>
        <w:t xml:space="preserve"> districts </w:t>
      </w:r>
      <w:r w:rsidR="00521B22">
        <w:rPr>
          <w:rFonts w:ascii="Times New Roman" w:eastAsia="Times New Roman" w:hAnsi="Times New Roman" w:cs="Times New Roman"/>
          <w:sz w:val="24"/>
          <w:szCs w:val="24"/>
        </w:rPr>
        <w:t>–</w:t>
      </w:r>
      <w:r w:rsidR="00254115" w:rsidRPr="00254115">
        <w:rPr>
          <w:rFonts w:ascii="Times New Roman" w:eastAsia="Times New Roman" w:hAnsi="Times New Roman" w:cs="Times New Roman"/>
          <w:sz w:val="24"/>
          <w:szCs w:val="24"/>
        </w:rPr>
        <w:t xml:space="preserve"> </w:t>
      </w:r>
      <w:r w:rsidR="00521B22">
        <w:rPr>
          <w:rFonts w:ascii="Times New Roman" w:eastAsia="Times New Roman" w:hAnsi="Times New Roman" w:cs="Times New Roman"/>
          <w:sz w:val="24"/>
          <w:szCs w:val="24"/>
        </w:rPr>
        <w:t>3</w:t>
      </w:r>
      <w:r w:rsidR="00254115" w:rsidRPr="00254115">
        <w:rPr>
          <w:rFonts w:ascii="Times New Roman" w:eastAsia="Times New Roman" w:hAnsi="Times New Roman" w:cs="Times New Roman"/>
          <w:sz w:val="24"/>
          <w:szCs w:val="24"/>
        </w:rPr>
        <w:t xml:space="preserve"> and 7</w:t>
      </w:r>
      <w:r w:rsidR="00521B22">
        <w:rPr>
          <w:rFonts w:ascii="Times New Roman" w:eastAsia="Times New Roman" w:hAnsi="Times New Roman" w:cs="Times New Roman"/>
          <w:sz w:val="24"/>
          <w:szCs w:val="24"/>
        </w:rPr>
        <w:t xml:space="preserve">. With this map, it was important </w:t>
      </w:r>
      <w:r w:rsidR="00E2568A">
        <w:rPr>
          <w:rFonts w:ascii="Times New Roman" w:eastAsia="Times New Roman" w:hAnsi="Times New Roman" w:cs="Times New Roman"/>
          <w:sz w:val="24"/>
          <w:szCs w:val="24"/>
        </w:rPr>
        <w:t xml:space="preserve">not to differ in the number of Hispanic districts and </w:t>
      </w:r>
      <w:r w:rsidR="00521B22">
        <w:rPr>
          <w:rFonts w:ascii="Times New Roman" w:eastAsia="Times New Roman" w:hAnsi="Times New Roman" w:cs="Times New Roman"/>
          <w:sz w:val="24"/>
          <w:szCs w:val="24"/>
        </w:rPr>
        <w:t xml:space="preserve">to </w:t>
      </w:r>
      <w:r w:rsidR="00E2568A">
        <w:rPr>
          <w:rFonts w:ascii="Times New Roman" w:eastAsia="Times New Roman" w:hAnsi="Times New Roman" w:cs="Times New Roman"/>
          <w:sz w:val="24"/>
          <w:szCs w:val="24"/>
        </w:rPr>
        <w:t xml:space="preserve">perform at least </w:t>
      </w:r>
      <w:r w:rsidR="00274556">
        <w:rPr>
          <w:rFonts w:ascii="Times New Roman" w:eastAsia="Times New Roman" w:hAnsi="Times New Roman" w:cs="Times New Roman"/>
          <w:sz w:val="24"/>
          <w:szCs w:val="24"/>
        </w:rPr>
        <w:t>as well as the state’s plan</w:t>
      </w:r>
      <w:r w:rsidR="00E2568A">
        <w:rPr>
          <w:rFonts w:ascii="Times New Roman" w:eastAsia="Times New Roman" w:hAnsi="Times New Roman" w:cs="Times New Roman"/>
          <w:sz w:val="24"/>
          <w:szCs w:val="24"/>
        </w:rPr>
        <w:t xml:space="preserve">. </w:t>
      </w:r>
      <w:r w:rsidR="00521B22">
        <w:rPr>
          <w:rFonts w:ascii="Times New Roman" w:eastAsia="Times New Roman" w:hAnsi="Times New Roman" w:cs="Times New Roman"/>
          <w:sz w:val="24"/>
          <w:szCs w:val="24"/>
        </w:rPr>
        <w:t xml:space="preserve">Districts 2 and 8 </w:t>
      </w:r>
      <w:r w:rsidR="00E2568A">
        <w:rPr>
          <w:rFonts w:ascii="Times New Roman" w:eastAsia="Times New Roman" w:hAnsi="Times New Roman" w:cs="Times New Roman"/>
          <w:sz w:val="24"/>
          <w:szCs w:val="24"/>
        </w:rPr>
        <w:t xml:space="preserve">on this plan </w:t>
      </w:r>
      <w:r w:rsidR="00521B22">
        <w:rPr>
          <w:rFonts w:ascii="Times New Roman" w:eastAsia="Times New Roman" w:hAnsi="Times New Roman" w:cs="Times New Roman"/>
          <w:sz w:val="24"/>
          <w:szCs w:val="24"/>
        </w:rPr>
        <w:t>accomplish that</w:t>
      </w:r>
      <w:r w:rsidR="00E2568A">
        <w:rPr>
          <w:rFonts w:ascii="Times New Roman" w:eastAsia="Times New Roman" w:hAnsi="Times New Roman" w:cs="Times New Roman"/>
          <w:sz w:val="24"/>
          <w:szCs w:val="24"/>
        </w:rPr>
        <w:t xml:space="preserve"> same Hispanic-majority district floor as the state’s proposed plan.</w:t>
      </w:r>
    </w:p>
    <w:p w14:paraId="662A7FE0" w14:textId="34488815" w:rsidR="00ED2A91" w:rsidRPr="008117AF" w:rsidRDefault="003E765F" w:rsidP="008A755D">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Cs/>
          <w:sz w:val="24"/>
          <w:szCs w:val="24"/>
        </w:rPr>
        <w:t>When drawing districts with racial considerations, redistrictors must bear in mind</w:t>
      </w:r>
      <w:r>
        <w:rPr>
          <w:rFonts w:ascii="Times New Roman" w:eastAsia="Times New Roman" w:hAnsi="Times New Roman" w:cs="Times New Roman"/>
          <w:i/>
          <w:sz w:val="24"/>
          <w:szCs w:val="24"/>
        </w:rPr>
        <w:t xml:space="preserve"> </w:t>
      </w:r>
      <w:r w:rsidR="00ED2A91">
        <w:rPr>
          <w:rFonts w:ascii="Times New Roman" w:eastAsia="Times New Roman" w:hAnsi="Times New Roman" w:cs="Times New Roman"/>
          <w:i/>
          <w:sz w:val="24"/>
          <w:szCs w:val="24"/>
        </w:rPr>
        <w:t>Shaw v. Reno</w:t>
      </w:r>
      <w:r>
        <w:rPr>
          <w:rFonts w:ascii="Times New Roman" w:eastAsia="Times New Roman" w:hAnsi="Times New Roman" w:cs="Times New Roman"/>
          <w:iCs/>
          <w:sz w:val="24"/>
          <w:szCs w:val="24"/>
        </w:rPr>
        <w:t>, which</w:t>
      </w:r>
      <w:r w:rsidR="00ED2A91">
        <w:rPr>
          <w:rFonts w:ascii="Times New Roman" w:eastAsia="Times New Roman" w:hAnsi="Times New Roman" w:cs="Times New Roman"/>
          <w:sz w:val="24"/>
          <w:szCs w:val="24"/>
        </w:rPr>
        <w:t xml:space="preserve"> has particular implications for racial gerrymandering.</w:t>
      </w:r>
      <w:r w:rsidR="00221CAC">
        <w:rPr>
          <w:rStyle w:val="FootnoteReference"/>
          <w:rFonts w:ascii="Times New Roman" w:eastAsia="Times New Roman" w:hAnsi="Times New Roman" w:cs="Times New Roman"/>
          <w:sz w:val="24"/>
          <w:szCs w:val="24"/>
        </w:rPr>
        <w:footnoteReference w:id="21"/>
      </w:r>
      <w:r w:rsidR="00ED2A91">
        <w:rPr>
          <w:rFonts w:ascii="Times New Roman" w:eastAsia="Times New Roman" w:hAnsi="Times New Roman" w:cs="Times New Roman"/>
          <w:sz w:val="24"/>
          <w:szCs w:val="24"/>
        </w:rPr>
        <w:t xml:space="preserve"> In it, a plaintiff challenged a redistricting plan under the 14th Amendment’s Equal Protection Clause. The Supreme Court accepted their argument that, even though the plan appeared neutral on its face, it could not be understood as </w:t>
      </w:r>
      <w:r w:rsidR="00ED2A91">
        <w:rPr>
          <w:rFonts w:ascii="Times New Roman" w:eastAsia="Times New Roman" w:hAnsi="Times New Roman" w:cs="Times New Roman"/>
          <w:i/>
          <w:sz w:val="24"/>
          <w:szCs w:val="24"/>
        </w:rPr>
        <w:t xml:space="preserve">anything other than </w:t>
      </w:r>
      <w:r w:rsidR="00ED2A91">
        <w:rPr>
          <w:rFonts w:ascii="Times New Roman" w:eastAsia="Times New Roman" w:hAnsi="Times New Roman" w:cs="Times New Roman"/>
          <w:sz w:val="24"/>
          <w:szCs w:val="24"/>
        </w:rPr>
        <w:t>an effort to separate voters into different districts on the basis of race, and that the separation in question had no sufficient justification.</w:t>
      </w:r>
      <w:r w:rsidR="00ED2A91">
        <w:rPr>
          <w:rFonts w:ascii="Times New Roman" w:eastAsia="Times New Roman" w:hAnsi="Times New Roman" w:cs="Times New Roman"/>
          <w:sz w:val="24"/>
          <w:szCs w:val="24"/>
          <w:vertAlign w:val="superscript"/>
        </w:rPr>
        <w:footnoteReference w:id="22"/>
      </w:r>
      <w:r w:rsidR="00ED2A91">
        <w:rPr>
          <w:rFonts w:ascii="Times New Roman" w:eastAsia="Times New Roman" w:hAnsi="Times New Roman" w:cs="Times New Roman"/>
          <w:sz w:val="24"/>
          <w:szCs w:val="24"/>
        </w:rPr>
        <w:t xml:space="preserve"> Using </w:t>
      </w:r>
      <w:r w:rsidR="00ED2A91">
        <w:rPr>
          <w:rFonts w:ascii="Times New Roman" w:eastAsia="Times New Roman" w:hAnsi="Times New Roman" w:cs="Times New Roman"/>
          <w:i/>
          <w:sz w:val="24"/>
          <w:szCs w:val="24"/>
        </w:rPr>
        <w:t>Shaw</w:t>
      </w:r>
      <w:r w:rsidR="00ED2A91">
        <w:rPr>
          <w:rFonts w:ascii="Times New Roman" w:eastAsia="Times New Roman" w:hAnsi="Times New Roman" w:cs="Times New Roman"/>
          <w:sz w:val="24"/>
          <w:szCs w:val="24"/>
        </w:rPr>
        <w:t xml:space="preserve"> as a basis, the Court further developed this doctrine in another case, </w:t>
      </w:r>
      <w:r w:rsidR="00ED2A91">
        <w:rPr>
          <w:rFonts w:ascii="Times New Roman" w:eastAsia="Times New Roman" w:hAnsi="Times New Roman" w:cs="Times New Roman"/>
          <w:i/>
          <w:sz w:val="24"/>
          <w:szCs w:val="24"/>
        </w:rPr>
        <w:t>Miller v. Johnson</w:t>
      </w:r>
      <w:r w:rsidR="00ED2A91">
        <w:rPr>
          <w:rFonts w:ascii="Times New Roman" w:eastAsia="Times New Roman" w:hAnsi="Times New Roman" w:cs="Times New Roman"/>
          <w:sz w:val="24"/>
          <w:szCs w:val="24"/>
        </w:rPr>
        <w:t>.</w:t>
      </w:r>
      <w:r w:rsidR="00BD2855">
        <w:rPr>
          <w:rFonts w:ascii="Times New Roman" w:eastAsia="Times New Roman" w:hAnsi="Times New Roman" w:cs="Times New Roman"/>
          <w:sz w:val="24"/>
          <w:szCs w:val="24"/>
          <w:vertAlign w:val="superscript"/>
        </w:rPr>
        <w:footnoteReference w:id="23"/>
      </w:r>
      <w:r w:rsidR="00ED2A91">
        <w:rPr>
          <w:rFonts w:ascii="Times New Roman" w:eastAsia="Times New Roman" w:hAnsi="Times New Roman" w:cs="Times New Roman"/>
          <w:sz w:val="24"/>
          <w:szCs w:val="24"/>
        </w:rPr>
        <w:t xml:space="preserve"> There, it held that strict scrutiny is triggered when race served as the “predominant” factor in the drawing of district lines.</w:t>
      </w:r>
      <w:r w:rsidR="00BD2855">
        <w:rPr>
          <w:rStyle w:val="FootnoteReference"/>
          <w:rFonts w:ascii="Times New Roman" w:eastAsia="Times New Roman" w:hAnsi="Times New Roman" w:cs="Times New Roman"/>
          <w:sz w:val="24"/>
          <w:szCs w:val="24"/>
        </w:rPr>
        <w:footnoteReference w:id="24"/>
      </w:r>
      <w:r w:rsidR="00ED2A91">
        <w:rPr>
          <w:rFonts w:ascii="Times New Roman" w:eastAsia="Times New Roman" w:hAnsi="Times New Roman" w:cs="Times New Roman"/>
          <w:sz w:val="24"/>
          <w:szCs w:val="24"/>
        </w:rPr>
        <w:t xml:space="preserve"> </w:t>
      </w:r>
      <w:r w:rsidR="00ED2A91">
        <w:rPr>
          <w:rFonts w:ascii="Times New Roman" w:eastAsia="Times New Roman" w:hAnsi="Times New Roman" w:cs="Times New Roman"/>
          <w:i/>
          <w:sz w:val="24"/>
          <w:szCs w:val="24"/>
        </w:rPr>
        <w:t xml:space="preserve">Miller </w:t>
      </w:r>
      <w:r w:rsidR="00ED2A91">
        <w:rPr>
          <w:rFonts w:ascii="Times New Roman" w:eastAsia="Times New Roman" w:hAnsi="Times New Roman" w:cs="Times New Roman"/>
          <w:sz w:val="24"/>
          <w:szCs w:val="24"/>
        </w:rPr>
        <w:t xml:space="preserve">also held that districts with strange shapes with seemingly no obvious basis can be indicative of discriminatory intent, serving as circumstantial evidence of the </w:t>
      </w:r>
      <w:r w:rsidR="00ED2A91">
        <w:rPr>
          <w:rFonts w:ascii="Times New Roman" w:eastAsia="Times New Roman" w:hAnsi="Times New Roman" w:cs="Times New Roman"/>
          <w:sz w:val="24"/>
          <w:szCs w:val="24"/>
        </w:rPr>
        <w:lastRenderedPageBreak/>
        <w:t>predominance of race.</w:t>
      </w:r>
      <w:r w:rsidR="00ED2A91">
        <w:rPr>
          <w:rFonts w:ascii="Times New Roman" w:eastAsia="Times New Roman" w:hAnsi="Times New Roman" w:cs="Times New Roman"/>
          <w:sz w:val="24"/>
          <w:szCs w:val="24"/>
          <w:vertAlign w:val="superscript"/>
        </w:rPr>
        <w:footnoteReference w:id="25"/>
      </w:r>
      <w:r w:rsidR="00ED2A91">
        <w:rPr>
          <w:rFonts w:ascii="Times New Roman" w:eastAsia="Times New Roman" w:hAnsi="Times New Roman" w:cs="Times New Roman"/>
          <w:sz w:val="24"/>
          <w:szCs w:val="24"/>
        </w:rPr>
        <w:t xml:space="preserve"> At the same time, strictly observing traditional districting principles can be equally indicative of a </w:t>
      </w:r>
      <w:r w:rsidR="00ED2A91">
        <w:rPr>
          <w:rFonts w:ascii="Times New Roman" w:eastAsia="Times New Roman" w:hAnsi="Times New Roman" w:cs="Times New Roman"/>
          <w:i/>
          <w:sz w:val="24"/>
          <w:szCs w:val="24"/>
        </w:rPr>
        <w:t xml:space="preserve">lack </w:t>
      </w:r>
      <w:r w:rsidR="00ED2A91">
        <w:rPr>
          <w:rFonts w:ascii="Times New Roman" w:eastAsia="Times New Roman" w:hAnsi="Times New Roman" w:cs="Times New Roman"/>
          <w:sz w:val="24"/>
          <w:szCs w:val="24"/>
        </w:rPr>
        <w:t>of discriminatory intent.</w:t>
      </w:r>
      <w:r w:rsidR="00ED2A91">
        <w:rPr>
          <w:rFonts w:ascii="Times New Roman" w:eastAsia="Times New Roman" w:hAnsi="Times New Roman" w:cs="Times New Roman"/>
          <w:sz w:val="24"/>
          <w:szCs w:val="24"/>
          <w:vertAlign w:val="superscript"/>
        </w:rPr>
        <w:footnoteReference w:id="26"/>
      </w:r>
      <w:r w:rsidR="008117AF">
        <w:rPr>
          <w:rFonts w:ascii="Times New Roman" w:eastAsia="Times New Roman" w:hAnsi="Times New Roman" w:cs="Times New Roman"/>
          <w:sz w:val="24"/>
          <w:szCs w:val="24"/>
        </w:rPr>
        <w:t xml:space="preserve"> </w:t>
      </w:r>
      <w:r w:rsidR="008117AF">
        <w:rPr>
          <w:rFonts w:ascii="Times New Roman" w:eastAsia="Times New Roman" w:hAnsi="Times New Roman" w:cs="Times New Roman"/>
          <w:i/>
          <w:iCs/>
          <w:sz w:val="24"/>
          <w:szCs w:val="24"/>
        </w:rPr>
        <w:t>Miller</w:t>
      </w:r>
      <w:r w:rsidR="008117AF">
        <w:rPr>
          <w:rFonts w:ascii="Times New Roman" w:eastAsia="Times New Roman" w:hAnsi="Times New Roman" w:cs="Times New Roman"/>
          <w:sz w:val="24"/>
          <w:szCs w:val="24"/>
        </w:rPr>
        <w:t xml:space="preserve"> is important to consider in District 2, which indeed has a strange shape, but its basis in Hispanic representation is fairly obvious and easily defended. </w:t>
      </w:r>
    </w:p>
    <w:p w14:paraId="362A76B5" w14:textId="09DDA648" w:rsidR="0081090A" w:rsidRDefault="003721DB">
      <w:pPr>
        <w:numPr>
          <w:ilvl w:val="2"/>
          <w:numId w:val="3"/>
        </w:numPr>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Geographic</w:t>
      </w:r>
    </w:p>
    <w:p w14:paraId="1740D1A1" w14:textId="3FF55522" w:rsidR="00391ADB" w:rsidRPr="00391ADB" w:rsidRDefault="00391ADB" w:rsidP="00391ADB">
      <w:pPr>
        <w:shd w:val="clear" w:color="auto" w:fill="FFFFFF"/>
        <w:spacing w:line="480" w:lineRule="auto"/>
        <w:rPr>
          <w:rFonts w:ascii="Times New Roman" w:eastAsia="Times New Roman" w:hAnsi="Times New Roman" w:cs="Times New Roman"/>
          <w:iCs/>
          <w:sz w:val="24"/>
          <w:szCs w:val="24"/>
        </w:rPr>
      </w:pPr>
      <w:r>
        <w:rPr>
          <w:noProof/>
        </w:rPr>
        <w:drawing>
          <wp:inline distT="0" distB="0" distL="0" distR="0" wp14:anchorId="41CFD8E3" wp14:editId="435483C5">
            <wp:extent cx="5943600" cy="24898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89835"/>
                    </a:xfrm>
                    <a:prstGeom prst="rect">
                      <a:avLst/>
                    </a:prstGeom>
                  </pic:spPr>
                </pic:pic>
              </a:graphicData>
            </a:graphic>
          </wp:inline>
        </w:drawing>
      </w:r>
    </w:p>
    <w:p w14:paraId="5923402E" w14:textId="62392578" w:rsidR="0070783F" w:rsidRDefault="00521B22" w:rsidP="0070783F">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Focusing on District 2 for just a bit longer, this map makes a substantial </w:t>
      </w:r>
      <w:r w:rsidR="00391ADB">
        <w:rPr>
          <w:rFonts w:ascii="Times New Roman" w:eastAsia="Times New Roman" w:hAnsi="Times New Roman" w:cs="Times New Roman"/>
          <w:sz w:val="24"/>
          <w:szCs w:val="24"/>
        </w:rPr>
        <w:t xml:space="preserve">geographic </w:t>
      </w:r>
      <w:r>
        <w:rPr>
          <w:rFonts w:ascii="Times New Roman" w:eastAsia="Times New Roman" w:hAnsi="Times New Roman" w:cs="Times New Roman"/>
          <w:sz w:val="24"/>
          <w:szCs w:val="24"/>
        </w:rPr>
        <w:t xml:space="preserve">change to the southern regions when compared to </w:t>
      </w:r>
      <w:r w:rsidR="0070783F">
        <w:rPr>
          <w:rFonts w:ascii="Times New Roman" w:eastAsia="Times New Roman" w:hAnsi="Times New Roman" w:cs="Times New Roman"/>
          <w:sz w:val="24"/>
          <w:szCs w:val="24"/>
        </w:rPr>
        <w:t xml:space="preserve">the current </w:t>
      </w:r>
      <w:r w:rsidR="002E3CCB">
        <w:rPr>
          <w:rFonts w:ascii="Times New Roman" w:eastAsia="Times New Roman" w:hAnsi="Times New Roman" w:cs="Times New Roman"/>
          <w:sz w:val="24"/>
          <w:szCs w:val="24"/>
        </w:rPr>
        <w:t>congressional</w:t>
      </w:r>
      <w:r w:rsidR="0070783F">
        <w:rPr>
          <w:rFonts w:ascii="Times New Roman" w:eastAsia="Times New Roman" w:hAnsi="Times New Roman" w:cs="Times New Roman"/>
          <w:sz w:val="24"/>
          <w:szCs w:val="24"/>
        </w:rPr>
        <w:t xml:space="preserve"> map</w:t>
      </w:r>
      <w:r w:rsidR="002E3CCB">
        <w:rPr>
          <w:rFonts w:ascii="Times New Roman" w:eastAsia="Times New Roman" w:hAnsi="Times New Roman" w:cs="Times New Roman"/>
          <w:sz w:val="24"/>
          <w:szCs w:val="24"/>
        </w:rPr>
        <w:t xml:space="preserve"> from 2011</w:t>
      </w:r>
      <w:r>
        <w:rPr>
          <w:rFonts w:ascii="Times New Roman" w:eastAsia="Times New Roman" w:hAnsi="Times New Roman" w:cs="Times New Roman"/>
          <w:sz w:val="24"/>
          <w:szCs w:val="24"/>
        </w:rPr>
        <w:t xml:space="preserve">. In the current </w:t>
      </w:r>
      <w:r w:rsidR="00274556">
        <w:rPr>
          <w:rFonts w:ascii="Times New Roman" w:eastAsia="Times New Roman" w:hAnsi="Times New Roman" w:cs="Times New Roman"/>
          <w:sz w:val="24"/>
          <w:szCs w:val="24"/>
        </w:rPr>
        <w:t xml:space="preserve">enacted </w:t>
      </w:r>
      <w:r>
        <w:rPr>
          <w:rFonts w:ascii="Times New Roman" w:eastAsia="Times New Roman" w:hAnsi="Times New Roman" w:cs="Times New Roman"/>
          <w:sz w:val="24"/>
          <w:szCs w:val="24"/>
        </w:rPr>
        <w:t xml:space="preserve">map, the city of Tucson </w:t>
      </w:r>
      <w:r w:rsidR="00391ADB">
        <w:rPr>
          <w:rFonts w:ascii="Times New Roman" w:eastAsia="Times New Roman" w:hAnsi="Times New Roman" w:cs="Times New Roman"/>
          <w:sz w:val="24"/>
          <w:szCs w:val="24"/>
        </w:rPr>
        <w:t>is split in two. This map</w:t>
      </w:r>
      <w:r w:rsidR="0070783F">
        <w:rPr>
          <w:rFonts w:ascii="Times New Roman" w:eastAsia="Times New Roman" w:hAnsi="Times New Roman" w:cs="Times New Roman"/>
          <w:sz w:val="24"/>
          <w:szCs w:val="24"/>
        </w:rPr>
        <w:t xml:space="preserve"> </w:t>
      </w:r>
      <w:r w:rsidR="00391ADB">
        <w:rPr>
          <w:rFonts w:ascii="Times New Roman" w:eastAsia="Times New Roman" w:hAnsi="Times New Roman" w:cs="Times New Roman"/>
          <w:sz w:val="24"/>
          <w:szCs w:val="24"/>
        </w:rPr>
        <w:t>attempts to remedy that</w:t>
      </w:r>
      <w:r w:rsidR="00221CAC">
        <w:rPr>
          <w:rFonts w:ascii="Times New Roman" w:eastAsia="Times New Roman" w:hAnsi="Times New Roman" w:cs="Times New Roman"/>
          <w:sz w:val="24"/>
          <w:szCs w:val="24"/>
        </w:rPr>
        <w:t xml:space="preserve"> split</w:t>
      </w:r>
      <w:r w:rsidR="00391ADB">
        <w:rPr>
          <w:rFonts w:ascii="Times New Roman" w:eastAsia="Times New Roman" w:hAnsi="Times New Roman" w:cs="Times New Roman"/>
          <w:sz w:val="24"/>
          <w:szCs w:val="24"/>
        </w:rPr>
        <w:t xml:space="preserve"> by </w:t>
      </w:r>
      <w:r w:rsidR="0070783F">
        <w:rPr>
          <w:rFonts w:ascii="Times New Roman" w:eastAsia="Times New Roman" w:hAnsi="Times New Roman" w:cs="Times New Roman"/>
          <w:sz w:val="24"/>
          <w:szCs w:val="24"/>
        </w:rPr>
        <w:t>plac</w:t>
      </w:r>
      <w:r w:rsidR="00391ADB">
        <w:rPr>
          <w:rFonts w:ascii="Times New Roman" w:eastAsia="Times New Roman" w:hAnsi="Times New Roman" w:cs="Times New Roman"/>
          <w:sz w:val="24"/>
          <w:szCs w:val="24"/>
        </w:rPr>
        <w:t>ing</w:t>
      </w:r>
      <w:r w:rsidR="0070783F">
        <w:rPr>
          <w:rFonts w:ascii="Times New Roman" w:eastAsia="Times New Roman" w:hAnsi="Times New Roman" w:cs="Times New Roman"/>
          <w:sz w:val="24"/>
          <w:szCs w:val="24"/>
        </w:rPr>
        <w:t xml:space="preserve"> almost </w:t>
      </w:r>
      <w:r w:rsidR="00391ADB">
        <w:rPr>
          <w:rFonts w:ascii="Times New Roman" w:eastAsia="Times New Roman" w:hAnsi="Times New Roman" w:cs="Times New Roman"/>
          <w:sz w:val="24"/>
          <w:szCs w:val="24"/>
        </w:rPr>
        <w:t xml:space="preserve">all of </w:t>
      </w:r>
      <w:r w:rsidR="0070783F">
        <w:rPr>
          <w:rFonts w:ascii="Times New Roman" w:eastAsia="Times New Roman" w:hAnsi="Times New Roman" w:cs="Times New Roman"/>
          <w:sz w:val="24"/>
          <w:szCs w:val="24"/>
        </w:rPr>
        <w:t>Tucson into one district (District 2) rather than crack</w:t>
      </w:r>
      <w:r w:rsidR="00391ADB">
        <w:rPr>
          <w:rFonts w:ascii="Times New Roman" w:eastAsia="Times New Roman" w:hAnsi="Times New Roman" w:cs="Times New Roman"/>
          <w:sz w:val="24"/>
          <w:szCs w:val="24"/>
        </w:rPr>
        <w:t>ing</w:t>
      </w:r>
      <w:r w:rsidR="0070783F">
        <w:rPr>
          <w:rFonts w:ascii="Times New Roman" w:eastAsia="Times New Roman" w:hAnsi="Times New Roman" w:cs="Times New Roman"/>
          <w:sz w:val="24"/>
          <w:szCs w:val="24"/>
        </w:rPr>
        <w:t xml:space="preserve"> it. This decision was made in an effort to keep Tucson communities together. District 2 also takes </w:t>
      </w:r>
      <w:r w:rsidR="00C367F0">
        <w:rPr>
          <w:rFonts w:ascii="Times New Roman" w:eastAsia="Times New Roman" w:hAnsi="Times New Roman" w:cs="Times New Roman"/>
          <w:sz w:val="24"/>
          <w:szCs w:val="24"/>
        </w:rPr>
        <w:t xml:space="preserve">a </w:t>
      </w:r>
      <w:r w:rsidR="0070783F">
        <w:rPr>
          <w:rFonts w:ascii="Times New Roman" w:eastAsia="Times New Roman" w:hAnsi="Times New Roman" w:cs="Times New Roman"/>
          <w:sz w:val="24"/>
          <w:szCs w:val="24"/>
        </w:rPr>
        <w:t>shape</w:t>
      </w:r>
      <w:r w:rsidR="00C367F0">
        <w:rPr>
          <w:rFonts w:ascii="Times New Roman" w:eastAsia="Times New Roman" w:hAnsi="Times New Roman" w:cs="Times New Roman"/>
          <w:sz w:val="24"/>
          <w:szCs w:val="24"/>
        </w:rPr>
        <w:t xml:space="preserve"> that would appear unusual</w:t>
      </w:r>
      <w:r w:rsidR="0070783F">
        <w:rPr>
          <w:rFonts w:ascii="Times New Roman" w:eastAsia="Times New Roman" w:hAnsi="Times New Roman" w:cs="Times New Roman"/>
          <w:sz w:val="24"/>
          <w:szCs w:val="24"/>
        </w:rPr>
        <w:t xml:space="preserve">, </w:t>
      </w:r>
      <w:r w:rsidR="00391ADB">
        <w:rPr>
          <w:rFonts w:ascii="Times New Roman" w:eastAsia="Times New Roman" w:hAnsi="Times New Roman" w:cs="Times New Roman"/>
          <w:sz w:val="24"/>
          <w:szCs w:val="24"/>
        </w:rPr>
        <w:t xml:space="preserve">running along most </w:t>
      </w:r>
      <w:r w:rsidR="0070783F">
        <w:rPr>
          <w:rFonts w:ascii="Times New Roman" w:eastAsia="Times New Roman" w:hAnsi="Times New Roman" w:cs="Times New Roman"/>
          <w:sz w:val="24"/>
          <w:szCs w:val="24"/>
        </w:rPr>
        <w:t xml:space="preserve">of the southern border. </w:t>
      </w:r>
      <w:r w:rsidR="00274556">
        <w:rPr>
          <w:rFonts w:ascii="Times New Roman" w:eastAsia="Times New Roman" w:hAnsi="Times New Roman" w:cs="Times New Roman"/>
          <w:sz w:val="24"/>
          <w:szCs w:val="24"/>
        </w:rPr>
        <w:t xml:space="preserve">Again, this feature is a relative staple of Arizona congressional plans. The only unusual part about District 2 is that it does not extend north. </w:t>
      </w:r>
      <w:r w:rsidR="00391ADB">
        <w:rPr>
          <w:rFonts w:ascii="Times New Roman" w:eastAsia="Times New Roman" w:hAnsi="Times New Roman" w:cs="Times New Roman"/>
          <w:sz w:val="24"/>
          <w:szCs w:val="24"/>
        </w:rPr>
        <w:t xml:space="preserve">An unfortunate byproduct of the way that District 2 was designed is that it </w:t>
      </w:r>
      <w:r w:rsidR="0070783F">
        <w:rPr>
          <w:rFonts w:ascii="Times New Roman" w:eastAsia="Times New Roman" w:hAnsi="Times New Roman" w:cs="Times New Roman"/>
          <w:sz w:val="24"/>
          <w:szCs w:val="24"/>
        </w:rPr>
        <w:t xml:space="preserve">cracks the Tohono O'Odham Nation Reservation. </w:t>
      </w:r>
      <w:r w:rsidR="00391ADB">
        <w:rPr>
          <w:rFonts w:ascii="Times New Roman" w:eastAsia="Times New Roman" w:hAnsi="Times New Roman" w:cs="Times New Roman"/>
          <w:sz w:val="24"/>
          <w:szCs w:val="24"/>
        </w:rPr>
        <w:t>This was not ideal</w:t>
      </w:r>
      <w:r w:rsidR="0070783F">
        <w:rPr>
          <w:rFonts w:ascii="Times New Roman" w:eastAsia="Times New Roman" w:hAnsi="Times New Roman" w:cs="Times New Roman"/>
          <w:sz w:val="24"/>
          <w:szCs w:val="24"/>
        </w:rPr>
        <w:t>, a</w:t>
      </w:r>
      <w:r w:rsidR="00391ADB">
        <w:rPr>
          <w:rFonts w:ascii="Times New Roman" w:eastAsia="Times New Roman" w:hAnsi="Times New Roman" w:cs="Times New Roman"/>
          <w:sz w:val="24"/>
          <w:szCs w:val="24"/>
        </w:rPr>
        <w:t>s</w:t>
      </w:r>
      <w:r w:rsidR="0070783F">
        <w:rPr>
          <w:rFonts w:ascii="Times New Roman" w:eastAsia="Times New Roman" w:hAnsi="Times New Roman" w:cs="Times New Roman"/>
          <w:sz w:val="24"/>
          <w:szCs w:val="24"/>
        </w:rPr>
        <w:t xml:space="preserve"> keeping Reservations together was of the utmost importance when drawing this map. However, District 2 was drawn this way</w:t>
      </w:r>
      <w:r w:rsidR="00391ADB">
        <w:rPr>
          <w:rFonts w:ascii="Times New Roman" w:eastAsia="Times New Roman" w:hAnsi="Times New Roman" w:cs="Times New Roman"/>
          <w:sz w:val="24"/>
          <w:szCs w:val="24"/>
        </w:rPr>
        <w:t xml:space="preserve">, </w:t>
      </w:r>
      <w:r w:rsidR="00391ADB">
        <w:rPr>
          <w:rFonts w:ascii="Times New Roman" w:eastAsia="Times New Roman" w:hAnsi="Times New Roman" w:cs="Times New Roman"/>
          <w:sz w:val="24"/>
          <w:szCs w:val="24"/>
        </w:rPr>
        <w:lastRenderedPageBreak/>
        <w:t>again,</w:t>
      </w:r>
      <w:r w:rsidR="0070783F">
        <w:rPr>
          <w:rFonts w:ascii="Times New Roman" w:eastAsia="Times New Roman" w:hAnsi="Times New Roman" w:cs="Times New Roman"/>
          <w:sz w:val="24"/>
          <w:szCs w:val="24"/>
        </w:rPr>
        <w:t xml:space="preserve"> to connect Tucson and Yuma in order to comply with the Voting Rights Act to keep the Hispanic majority that currently resides in District 3.</w:t>
      </w:r>
      <w:r w:rsidR="002E3CCB">
        <w:rPr>
          <w:rFonts w:ascii="Times New Roman" w:eastAsia="Times New Roman" w:hAnsi="Times New Roman" w:cs="Times New Roman"/>
          <w:sz w:val="24"/>
          <w:szCs w:val="24"/>
        </w:rPr>
        <w:t xml:space="preserve"> It was impossible, with the current demographics from 2021, to draw a Hispanic-majority district without connecting Tucson and Yuma.</w:t>
      </w:r>
    </w:p>
    <w:p w14:paraId="3840279C" w14:textId="71768B01" w:rsidR="00ED2A91" w:rsidRPr="008A755D" w:rsidRDefault="00ED2A91" w:rsidP="008A755D">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must consider the Voting Rights Act. Section 2 of the Voting Rights Act is violated if minority communities “have less opportunity than other members of the electorate to participate in the political process and to elect representatives of their choice.”</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w:t>
      </w:r>
      <w:r w:rsidR="00A630C9">
        <w:rPr>
          <w:rFonts w:ascii="Times New Roman" w:eastAsia="Times New Roman" w:hAnsi="Times New Roman" w:cs="Times New Roman"/>
          <w:sz w:val="24"/>
          <w:szCs w:val="24"/>
        </w:rPr>
        <w:t>In Arizona, the Hispanic population is certainly</w:t>
      </w:r>
      <w:r>
        <w:rPr>
          <w:rFonts w:ascii="Times New Roman" w:eastAsia="Times New Roman" w:hAnsi="Times New Roman" w:cs="Times New Roman"/>
          <w:sz w:val="24"/>
          <w:szCs w:val="24"/>
        </w:rPr>
        <w:t xml:space="preserve"> sufficiently large </w:t>
      </w:r>
      <w:r w:rsidR="00A630C9">
        <w:rPr>
          <w:rFonts w:ascii="Times New Roman" w:eastAsia="Times New Roman" w:hAnsi="Times New Roman" w:cs="Times New Roman"/>
          <w:sz w:val="24"/>
          <w:szCs w:val="24"/>
        </w:rPr>
        <w:t xml:space="preserve">enough to </w:t>
      </w:r>
      <w:r>
        <w:rPr>
          <w:rFonts w:ascii="Times New Roman" w:eastAsia="Times New Roman" w:hAnsi="Times New Roman" w:cs="Times New Roman"/>
          <w:sz w:val="24"/>
          <w:szCs w:val="24"/>
        </w:rPr>
        <w:t xml:space="preserve">constitute a majority in </w:t>
      </w:r>
      <w:r w:rsidR="00A630C9">
        <w:rPr>
          <w:rFonts w:ascii="Times New Roman" w:eastAsia="Times New Roman" w:hAnsi="Times New Roman" w:cs="Times New Roman"/>
          <w:sz w:val="24"/>
          <w:szCs w:val="24"/>
        </w:rPr>
        <w:t>D</w:t>
      </w:r>
      <w:r>
        <w:rPr>
          <w:rFonts w:ascii="Times New Roman" w:eastAsia="Times New Roman" w:hAnsi="Times New Roman" w:cs="Times New Roman"/>
          <w:sz w:val="24"/>
          <w:szCs w:val="24"/>
        </w:rPr>
        <w:t>istrict</w:t>
      </w:r>
      <w:r w:rsidR="00A630C9">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w:t>
      </w:r>
      <w:r w:rsidR="00A630C9">
        <w:rPr>
          <w:rFonts w:ascii="Times New Roman" w:eastAsia="Times New Roman" w:hAnsi="Times New Roman" w:cs="Times New Roman"/>
          <w:sz w:val="24"/>
          <w:szCs w:val="24"/>
        </w:rPr>
        <w:t xml:space="preserve">To do anything other than create a Hispanic majority would be to deprive the community of the </w:t>
      </w:r>
      <w:r w:rsidR="00F4571E">
        <w:rPr>
          <w:rFonts w:ascii="Times New Roman" w:eastAsia="Times New Roman" w:hAnsi="Times New Roman" w:cs="Times New Roman"/>
          <w:sz w:val="24"/>
          <w:szCs w:val="24"/>
        </w:rPr>
        <w:t>opportunity to participate in the political process and to elect representatives of their choice. This plan attempts to remedy that, though the solution is imperfect.</w:t>
      </w:r>
    </w:p>
    <w:p w14:paraId="40877651" w14:textId="63DCC67A" w:rsidR="00E1611C" w:rsidRDefault="003721DB" w:rsidP="00E1611C">
      <w:pPr>
        <w:numPr>
          <w:ilvl w:val="2"/>
          <w:numId w:val="3"/>
        </w:numPr>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Respecting Political Subdivisions</w:t>
      </w:r>
    </w:p>
    <w:p w14:paraId="27B72A63" w14:textId="74BBCF5F" w:rsidR="00E1611C" w:rsidRPr="00E1611C" w:rsidRDefault="00E1611C" w:rsidP="00944C90">
      <w:pPr>
        <w:shd w:val="clear" w:color="auto" w:fill="FFFFFF"/>
        <w:spacing w:line="480" w:lineRule="auto"/>
        <w:ind w:firstLine="720"/>
        <w:rPr>
          <w:rFonts w:ascii="Times New Roman" w:eastAsia="Times New Roman" w:hAnsi="Times New Roman" w:cs="Times New Roman"/>
          <w:iCs/>
          <w:sz w:val="24"/>
          <w:szCs w:val="24"/>
        </w:rPr>
      </w:pPr>
      <w:bookmarkStart w:id="3" w:name="_Hlk93138510"/>
      <w:r w:rsidRPr="00E1611C">
        <w:rPr>
          <w:rFonts w:ascii="Times New Roman" w:eastAsia="Times New Roman" w:hAnsi="Times New Roman" w:cs="Times New Roman"/>
          <w:iCs/>
          <w:sz w:val="24"/>
          <w:szCs w:val="24"/>
        </w:rPr>
        <w:t xml:space="preserve">In 42 </w:t>
      </w:r>
      <w:r w:rsidR="00944C90">
        <w:rPr>
          <w:rFonts w:ascii="Times New Roman" w:eastAsia="Times New Roman" w:hAnsi="Times New Roman" w:cs="Times New Roman"/>
          <w:iCs/>
          <w:sz w:val="24"/>
          <w:szCs w:val="24"/>
        </w:rPr>
        <w:t>states</w:t>
      </w:r>
      <w:r w:rsidRPr="00E1611C">
        <w:rPr>
          <w:rFonts w:ascii="Times New Roman" w:eastAsia="Times New Roman" w:hAnsi="Times New Roman" w:cs="Times New Roman"/>
          <w:iCs/>
          <w:sz w:val="24"/>
          <w:szCs w:val="24"/>
        </w:rPr>
        <w:t>, new</w:t>
      </w:r>
      <w:r>
        <w:rPr>
          <w:rFonts w:ascii="Times New Roman" w:eastAsia="Times New Roman" w:hAnsi="Times New Roman" w:cs="Times New Roman"/>
          <w:iCs/>
          <w:sz w:val="24"/>
          <w:szCs w:val="24"/>
        </w:rPr>
        <w:t xml:space="preserve"> </w:t>
      </w:r>
      <w:r w:rsidR="00944C90">
        <w:rPr>
          <w:rFonts w:ascii="Times New Roman" w:eastAsia="Times New Roman" w:hAnsi="Times New Roman" w:cs="Times New Roman"/>
          <w:iCs/>
          <w:sz w:val="24"/>
          <w:szCs w:val="24"/>
        </w:rPr>
        <w:t xml:space="preserve">state </w:t>
      </w:r>
      <w:r w:rsidRPr="00E1611C">
        <w:rPr>
          <w:rFonts w:ascii="Times New Roman" w:eastAsia="Times New Roman" w:hAnsi="Times New Roman" w:cs="Times New Roman"/>
          <w:iCs/>
          <w:sz w:val="24"/>
          <w:szCs w:val="24"/>
        </w:rPr>
        <w:t xml:space="preserve">legislative districts must </w:t>
      </w:r>
      <w:r w:rsidR="00C367F0" w:rsidRPr="00E1611C">
        <w:rPr>
          <w:rFonts w:ascii="Times New Roman" w:eastAsia="Times New Roman" w:hAnsi="Times New Roman" w:cs="Times New Roman"/>
          <w:iCs/>
          <w:sz w:val="24"/>
          <w:szCs w:val="24"/>
        </w:rPr>
        <w:t>consider</w:t>
      </w:r>
      <w:r w:rsidRPr="00E1611C">
        <w:rPr>
          <w:rFonts w:ascii="Times New Roman" w:eastAsia="Times New Roman" w:hAnsi="Times New Roman" w:cs="Times New Roman"/>
          <w:iCs/>
          <w:sz w:val="24"/>
          <w:szCs w:val="24"/>
        </w:rPr>
        <w:t xml:space="preserve"> existing</w:t>
      </w:r>
      <w:r>
        <w:rPr>
          <w:rFonts w:ascii="Times New Roman" w:eastAsia="Times New Roman" w:hAnsi="Times New Roman" w:cs="Times New Roman"/>
          <w:iCs/>
          <w:sz w:val="24"/>
          <w:szCs w:val="24"/>
        </w:rPr>
        <w:t xml:space="preserve"> </w:t>
      </w:r>
      <w:r w:rsidRPr="00E1611C">
        <w:rPr>
          <w:rFonts w:ascii="Times New Roman" w:eastAsia="Times New Roman" w:hAnsi="Times New Roman" w:cs="Times New Roman"/>
          <w:iCs/>
          <w:sz w:val="24"/>
          <w:szCs w:val="24"/>
        </w:rPr>
        <w:t>political boundaries such as the borders of cities, counties,</w:t>
      </w:r>
      <w:r>
        <w:rPr>
          <w:rFonts w:ascii="Times New Roman" w:eastAsia="Times New Roman" w:hAnsi="Times New Roman" w:cs="Times New Roman"/>
          <w:iCs/>
          <w:sz w:val="24"/>
          <w:szCs w:val="24"/>
        </w:rPr>
        <w:t xml:space="preserve"> </w:t>
      </w:r>
      <w:r w:rsidRPr="00E1611C">
        <w:rPr>
          <w:rFonts w:ascii="Times New Roman" w:eastAsia="Times New Roman" w:hAnsi="Times New Roman" w:cs="Times New Roman"/>
          <w:iCs/>
          <w:sz w:val="24"/>
          <w:szCs w:val="24"/>
        </w:rPr>
        <w:t>boroughs, towns, and wards.</w:t>
      </w:r>
      <w:bookmarkStart w:id="4" w:name="_Ref93162058"/>
      <w:r>
        <w:rPr>
          <w:rStyle w:val="FootnoteReference"/>
          <w:rFonts w:ascii="Times New Roman" w:eastAsia="Times New Roman" w:hAnsi="Times New Roman" w:cs="Times New Roman"/>
          <w:iCs/>
          <w:sz w:val="24"/>
          <w:szCs w:val="24"/>
        </w:rPr>
        <w:footnoteReference w:id="28"/>
      </w:r>
      <w:bookmarkEnd w:id="4"/>
      <w:r w:rsidR="00944C90">
        <w:rPr>
          <w:rFonts w:ascii="Times New Roman" w:eastAsia="Times New Roman" w:hAnsi="Times New Roman" w:cs="Times New Roman"/>
          <w:iCs/>
          <w:sz w:val="24"/>
          <w:szCs w:val="24"/>
        </w:rPr>
        <w:t xml:space="preserve"> </w:t>
      </w:r>
      <w:r w:rsidRPr="00E1611C">
        <w:rPr>
          <w:rFonts w:ascii="Times New Roman" w:eastAsia="Times New Roman" w:hAnsi="Times New Roman" w:cs="Times New Roman"/>
          <w:iCs/>
          <w:sz w:val="24"/>
          <w:szCs w:val="24"/>
        </w:rPr>
        <w:t>19 states</w:t>
      </w:r>
      <w:r w:rsidR="008C44AA">
        <w:rPr>
          <w:rFonts w:ascii="Times New Roman" w:eastAsia="Times New Roman" w:hAnsi="Times New Roman" w:cs="Times New Roman"/>
          <w:iCs/>
          <w:sz w:val="24"/>
          <w:szCs w:val="24"/>
        </w:rPr>
        <w:t xml:space="preserve"> (including Arizona)</w:t>
      </w:r>
      <w:r w:rsidRPr="00E1611C">
        <w:rPr>
          <w:rFonts w:ascii="Times New Roman" w:eastAsia="Times New Roman" w:hAnsi="Times New Roman" w:cs="Times New Roman"/>
          <w:iCs/>
          <w:sz w:val="24"/>
          <w:szCs w:val="24"/>
        </w:rPr>
        <w:t xml:space="preserve"> have</w:t>
      </w:r>
      <w:r>
        <w:rPr>
          <w:rFonts w:ascii="Times New Roman" w:eastAsia="Times New Roman" w:hAnsi="Times New Roman" w:cs="Times New Roman"/>
          <w:iCs/>
          <w:sz w:val="24"/>
          <w:szCs w:val="24"/>
        </w:rPr>
        <w:t xml:space="preserve"> </w:t>
      </w:r>
      <w:r w:rsidRPr="00E1611C">
        <w:rPr>
          <w:rFonts w:ascii="Times New Roman" w:eastAsia="Times New Roman" w:hAnsi="Times New Roman" w:cs="Times New Roman"/>
          <w:iCs/>
          <w:sz w:val="24"/>
          <w:szCs w:val="24"/>
        </w:rPr>
        <w:t>this requirement for congressional districts as well.</w:t>
      </w:r>
      <w:r>
        <w:rPr>
          <w:rStyle w:val="FootnoteReference"/>
          <w:rFonts w:ascii="Times New Roman" w:eastAsia="Times New Roman" w:hAnsi="Times New Roman" w:cs="Times New Roman"/>
          <w:iCs/>
          <w:sz w:val="24"/>
          <w:szCs w:val="24"/>
        </w:rPr>
        <w:footnoteReference w:id="29"/>
      </w:r>
      <w:r w:rsidR="00944C90">
        <w:rPr>
          <w:rFonts w:ascii="Times New Roman" w:eastAsia="Times New Roman" w:hAnsi="Times New Roman" w:cs="Times New Roman"/>
          <w:iCs/>
          <w:sz w:val="24"/>
          <w:szCs w:val="24"/>
        </w:rPr>
        <w:t xml:space="preserve"> This plan seeks to follow these requirements to the greatest extent possible. Fortunately, t</w:t>
      </w:r>
      <w:r w:rsidRPr="00E1611C">
        <w:rPr>
          <w:rFonts w:ascii="Times New Roman" w:eastAsia="Times New Roman" w:hAnsi="Times New Roman" w:cs="Times New Roman"/>
          <w:iCs/>
          <w:sz w:val="24"/>
          <w:szCs w:val="24"/>
        </w:rPr>
        <w:t xml:space="preserve">hese laws tend to be relatively flexible, particularly if </w:t>
      </w:r>
      <w:r w:rsidR="00EE6E09">
        <w:rPr>
          <w:rFonts w:ascii="Times New Roman" w:eastAsia="Times New Roman" w:hAnsi="Times New Roman" w:cs="Times New Roman"/>
          <w:iCs/>
          <w:sz w:val="24"/>
          <w:szCs w:val="24"/>
        </w:rPr>
        <w:t>redistrictors</w:t>
      </w:r>
      <w:r w:rsidR="00EE6E09" w:rsidRPr="00E1611C">
        <w:rPr>
          <w:rFonts w:ascii="Times New Roman" w:eastAsia="Times New Roman" w:hAnsi="Times New Roman" w:cs="Times New Roman"/>
          <w:iCs/>
          <w:sz w:val="24"/>
          <w:szCs w:val="24"/>
        </w:rPr>
        <w:t xml:space="preserve"> </w:t>
      </w:r>
      <w:r w:rsidRPr="00E1611C">
        <w:rPr>
          <w:rFonts w:ascii="Times New Roman" w:eastAsia="Times New Roman" w:hAnsi="Times New Roman" w:cs="Times New Roman"/>
          <w:iCs/>
          <w:sz w:val="24"/>
          <w:szCs w:val="24"/>
        </w:rPr>
        <w:t>have to split cities or counties to comply with the Voting Rights Act or the requirement of equal population.</w:t>
      </w:r>
      <w:r>
        <w:rPr>
          <w:rStyle w:val="FootnoteReference"/>
          <w:rFonts w:ascii="Times New Roman" w:eastAsia="Times New Roman" w:hAnsi="Times New Roman" w:cs="Times New Roman"/>
          <w:iCs/>
          <w:sz w:val="24"/>
          <w:szCs w:val="24"/>
        </w:rPr>
        <w:footnoteReference w:id="30"/>
      </w:r>
      <w:r w:rsidR="00BA2882">
        <w:rPr>
          <w:rFonts w:ascii="Times New Roman" w:eastAsia="Times New Roman" w:hAnsi="Times New Roman" w:cs="Times New Roman"/>
          <w:iCs/>
          <w:sz w:val="24"/>
          <w:szCs w:val="24"/>
        </w:rPr>
        <w:t xml:space="preserve"> Below is a table showing the political subdivision splits in this proposed plan:</w:t>
      </w:r>
    </w:p>
    <w:bookmarkEnd w:id="3"/>
    <w:p w14:paraId="3405B78D" w14:textId="4FBB8E0F" w:rsidR="00150357" w:rsidRDefault="00150357" w:rsidP="00150357">
      <w:pPr>
        <w:shd w:val="clear" w:color="auto" w:fill="FFFFFF"/>
        <w:spacing w:line="480" w:lineRule="auto"/>
        <w:ind w:left="2160"/>
        <w:rPr>
          <w:rFonts w:ascii="Times New Roman" w:eastAsia="Times New Roman" w:hAnsi="Times New Roman" w:cs="Times New Roman"/>
          <w:i/>
          <w:sz w:val="24"/>
          <w:szCs w:val="24"/>
        </w:rPr>
      </w:pPr>
    </w:p>
    <w:p w14:paraId="6945C1A5" w14:textId="5241473E" w:rsidR="002E049D" w:rsidRDefault="002E049D" w:rsidP="00150357">
      <w:pPr>
        <w:shd w:val="clear" w:color="auto" w:fill="FFFFFF"/>
        <w:spacing w:line="480" w:lineRule="auto"/>
        <w:ind w:left="2160"/>
        <w:rPr>
          <w:rFonts w:ascii="Times New Roman" w:eastAsia="Times New Roman" w:hAnsi="Times New Roman" w:cs="Times New Roman"/>
          <w:i/>
          <w:sz w:val="24"/>
          <w:szCs w:val="24"/>
        </w:rPr>
      </w:pPr>
    </w:p>
    <w:p w14:paraId="6803736D" w14:textId="75AFCCBD" w:rsidR="00944C90" w:rsidRPr="00150357" w:rsidRDefault="00944C90" w:rsidP="00FE53E4">
      <w:pPr>
        <w:shd w:val="clear" w:color="auto" w:fill="FFFFFF"/>
        <w:spacing w:line="480" w:lineRule="auto"/>
        <w:rPr>
          <w:rFonts w:ascii="Times New Roman" w:eastAsia="Times New Roman" w:hAnsi="Times New Roman" w:cs="Times New Roman"/>
          <w:sz w:val="24"/>
          <w:szCs w:val="24"/>
        </w:rPr>
      </w:pPr>
    </w:p>
    <w:tbl>
      <w:tblPr>
        <w:tblStyle w:val="PlainTable5"/>
        <w:tblW w:w="0" w:type="auto"/>
        <w:tblLook w:val="04A0" w:firstRow="1" w:lastRow="0" w:firstColumn="1" w:lastColumn="0" w:noHBand="0" w:noVBand="1"/>
      </w:tblPr>
      <w:tblGrid>
        <w:gridCol w:w="4675"/>
        <w:gridCol w:w="4675"/>
      </w:tblGrid>
      <w:tr w:rsidR="00944C90" w14:paraId="74919D94" w14:textId="77777777" w:rsidTr="00FE53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Borders>
              <w:right w:val="single" w:sz="4" w:space="0" w:color="auto"/>
            </w:tcBorders>
          </w:tcPr>
          <w:p w14:paraId="098881B8" w14:textId="4AA0BE34" w:rsidR="00944C90" w:rsidRDefault="00944C90" w:rsidP="00150357">
            <w:pPr>
              <w:spacing w:line="480" w:lineRule="auto"/>
              <w:rPr>
                <w:rFonts w:ascii="Times New Roman" w:eastAsia="Times New Roman" w:hAnsi="Times New Roman" w:cs="Times New Roman"/>
                <w:sz w:val="24"/>
                <w:szCs w:val="24"/>
              </w:rPr>
            </w:pPr>
            <w:bookmarkStart w:id="5" w:name="_Hlk93138472"/>
            <w:r w:rsidRPr="00150357">
              <w:rPr>
                <w:rFonts w:ascii="Times New Roman" w:eastAsia="Times New Roman" w:hAnsi="Times New Roman" w:cs="Times New Roman"/>
                <w:sz w:val="24"/>
                <w:szCs w:val="24"/>
              </w:rPr>
              <w:t>Number of City/Town not split</w:t>
            </w:r>
          </w:p>
        </w:tc>
        <w:tc>
          <w:tcPr>
            <w:tcW w:w="4675" w:type="dxa"/>
            <w:tcBorders>
              <w:left w:val="single" w:sz="4" w:space="0" w:color="auto"/>
              <w:bottom w:val="single" w:sz="4" w:space="0" w:color="auto"/>
            </w:tcBorders>
          </w:tcPr>
          <w:p w14:paraId="54E51CE0" w14:textId="1877B397" w:rsidR="00944C90" w:rsidRDefault="00944C90" w:rsidP="0015035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431</w:t>
            </w:r>
          </w:p>
        </w:tc>
      </w:tr>
      <w:tr w:rsidR="00944C90" w14:paraId="29D6A8C8" w14:textId="77777777" w:rsidTr="00FE5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1573FAA" w14:textId="34D277B9" w:rsidR="00944C90" w:rsidRDefault="00944C90" w:rsidP="00FE53E4">
            <w:pPr>
              <w:shd w:val="clear" w:color="auto" w:fill="FFFFFF"/>
              <w:spacing w:line="480" w:lineRule="auto"/>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Total Number of City/Town split</w:t>
            </w:r>
          </w:p>
        </w:tc>
        <w:tc>
          <w:tcPr>
            <w:tcW w:w="4675" w:type="dxa"/>
            <w:tcBorders>
              <w:top w:val="single" w:sz="4" w:space="0" w:color="auto"/>
            </w:tcBorders>
          </w:tcPr>
          <w:p w14:paraId="5B320AD6" w14:textId="567B69B5" w:rsidR="00944C90" w:rsidRDefault="00944C90" w:rsidP="0015035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944C90" w14:paraId="20FF211E" w14:textId="77777777" w:rsidTr="00FE53E4">
        <w:tc>
          <w:tcPr>
            <w:cnfStyle w:val="001000000000" w:firstRow="0" w:lastRow="0" w:firstColumn="1" w:lastColumn="0" w:oddVBand="0" w:evenVBand="0" w:oddHBand="0" w:evenHBand="0" w:firstRowFirstColumn="0" w:firstRowLastColumn="0" w:lastRowFirstColumn="0" w:lastRowLastColumn="0"/>
            <w:tcW w:w="4675" w:type="dxa"/>
          </w:tcPr>
          <w:p w14:paraId="2B15CFDB" w14:textId="78856739" w:rsidR="00944C90" w:rsidRDefault="00944C90" w:rsidP="00FE53E4">
            <w:pPr>
              <w:shd w:val="clear" w:color="auto" w:fill="FFFFFF"/>
              <w:spacing w:line="480" w:lineRule="auto"/>
              <w:ind w:left="360"/>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 xml:space="preserve">Number of City/Town split in </w:t>
            </w:r>
            <w:r w:rsidR="00FE53E4">
              <w:rPr>
                <w:rFonts w:ascii="Times New Roman" w:eastAsia="Times New Roman" w:hAnsi="Times New Roman" w:cs="Times New Roman"/>
                <w:sz w:val="24"/>
                <w:szCs w:val="24"/>
              </w:rPr>
              <w:t>two</w:t>
            </w:r>
          </w:p>
        </w:tc>
        <w:tc>
          <w:tcPr>
            <w:tcW w:w="4675" w:type="dxa"/>
          </w:tcPr>
          <w:p w14:paraId="7ED3DE2B" w14:textId="7B008947" w:rsidR="00944C90" w:rsidRDefault="00FE53E4" w:rsidP="0015035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944C90" w14:paraId="53EBCDE7" w14:textId="77777777" w:rsidTr="00FE5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A63B5C" w14:textId="45ADF0A1" w:rsidR="00944C90" w:rsidRDefault="00944C90" w:rsidP="00FE53E4">
            <w:pPr>
              <w:shd w:val="clear" w:color="auto" w:fill="FFFFFF"/>
              <w:spacing w:line="480" w:lineRule="auto"/>
              <w:ind w:left="360"/>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 xml:space="preserve">Number of City/Town split in </w:t>
            </w:r>
            <w:r w:rsidR="00FE53E4">
              <w:rPr>
                <w:rFonts w:ascii="Times New Roman" w:eastAsia="Times New Roman" w:hAnsi="Times New Roman" w:cs="Times New Roman"/>
                <w:sz w:val="24"/>
                <w:szCs w:val="24"/>
              </w:rPr>
              <w:t>three</w:t>
            </w:r>
          </w:p>
        </w:tc>
        <w:tc>
          <w:tcPr>
            <w:tcW w:w="4675" w:type="dxa"/>
          </w:tcPr>
          <w:p w14:paraId="624032DA" w14:textId="413B9EC8" w:rsidR="00944C90" w:rsidRDefault="00FE53E4" w:rsidP="0015035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44C90" w14:paraId="19C2C251" w14:textId="77777777" w:rsidTr="008C44AA">
        <w:tc>
          <w:tcPr>
            <w:cnfStyle w:val="001000000000" w:firstRow="0" w:lastRow="0" w:firstColumn="1" w:lastColumn="0" w:oddVBand="0" w:evenVBand="0" w:oddHBand="0" w:evenHBand="0" w:firstRowFirstColumn="0" w:firstRowLastColumn="0" w:lastRowFirstColumn="0" w:lastRowLastColumn="0"/>
            <w:tcW w:w="4675" w:type="dxa"/>
          </w:tcPr>
          <w:p w14:paraId="184708A9" w14:textId="7EA0FF17" w:rsidR="00944C90" w:rsidRDefault="00944C90" w:rsidP="00FE53E4">
            <w:pPr>
              <w:shd w:val="clear" w:color="auto" w:fill="FFFFFF"/>
              <w:spacing w:line="480" w:lineRule="auto"/>
              <w:ind w:left="360"/>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 xml:space="preserve">Number of City/Town split in </w:t>
            </w:r>
            <w:r w:rsidR="00FE53E4">
              <w:rPr>
                <w:rFonts w:ascii="Times New Roman" w:eastAsia="Times New Roman" w:hAnsi="Times New Roman" w:cs="Times New Roman"/>
                <w:sz w:val="24"/>
                <w:szCs w:val="24"/>
              </w:rPr>
              <w:t>four</w:t>
            </w:r>
          </w:p>
        </w:tc>
        <w:tc>
          <w:tcPr>
            <w:tcW w:w="4675" w:type="dxa"/>
          </w:tcPr>
          <w:p w14:paraId="78240AE4" w14:textId="4D51A3E8" w:rsidR="00944C90" w:rsidRDefault="00FE53E4" w:rsidP="0015035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44C90" w14:paraId="0D20AFC4" w14:textId="77777777" w:rsidTr="008C4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auto"/>
            </w:tcBorders>
          </w:tcPr>
          <w:p w14:paraId="5FA57012" w14:textId="799D317B" w:rsidR="00944C90" w:rsidRDefault="00944C90" w:rsidP="00FE53E4">
            <w:pPr>
              <w:shd w:val="clear" w:color="auto" w:fill="FFFFFF"/>
              <w:spacing w:line="480" w:lineRule="auto"/>
              <w:ind w:left="360"/>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 xml:space="preserve">Number of City/Town split in </w:t>
            </w:r>
            <w:r w:rsidR="00FE53E4">
              <w:rPr>
                <w:rFonts w:ascii="Times New Roman" w:eastAsia="Times New Roman" w:hAnsi="Times New Roman" w:cs="Times New Roman"/>
                <w:sz w:val="24"/>
                <w:szCs w:val="24"/>
              </w:rPr>
              <w:t>five</w:t>
            </w:r>
          </w:p>
        </w:tc>
        <w:tc>
          <w:tcPr>
            <w:tcW w:w="4675" w:type="dxa"/>
            <w:tcBorders>
              <w:bottom w:val="single" w:sz="4" w:space="0" w:color="auto"/>
            </w:tcBorders>
          </w:tcPr>
          <w:p w14:paraId="68C949CA" w14:textId="17DCE6AB" w:rsidR="00944C90" w:rsidRDefault="00FE53E4" w:rsidP="0015035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44C90" w14:paraId="1B0037F1" w14:textId="77777777" w:rsidTr="008C44AA">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tcBorders>
          </w:tcPr>
          <w:p w14:paraId="3A039C77" w14:textId="1E8037EB" w:rsidR="00944C90" w:rsidRDefault="00944C90" w:rsidP="00FE53E4">
            <w:pPr>
              <w:shd w:val="clear" w:color="auto" w:fill="FFFFFF"/>
              <w:spacing w:line="480" w:lineRule="auto"/>
              <w:ind w:left="360"/>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Total number of splits</w:t>
            </w:r>
          </w:p>
        </w:tc>
        <w:tc>
          <w:tcPr>
            <w:tcW w:w="4675" w:type="dxa"/>
            <w:tcBorders>
              <w:top w:val="single" w:sz="4" w:space="0" w:color="auto"/>
            </w:tcBorders>
          </w:tcPr>
          <w:p w14:paraId="379645CA" w14:textId="16EAE1E0" w:rsidR="00944C90" w:rsidRDefault="00FE53E4" w:rsidP="0015035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bookmarkEnd w:id="5"/>
    </w:tbl>
    <w:p w14:paraId="5ED1C47D" w14:textId="77777777" w:rsidR="00150357" w:rsidRPr="00150357" w:rsidRDefault="00150357" w:rsidP="00150357">
      <w:pPr>
        <w:shd w:val="clear" w:color="auto" w:fill="FFFFFF"/>
        <w:spacing w:line="480" w:lineRule="auto"/>
        <w:ind w:left="360"/>
        <w:rPr>
          <w:rFonts w:ascii="Times New Roman" w:eastAsia="Times New Roman" w:hAnsi="Times New Roman" w:cs="Times New Roman"/>
          <w:sz w:val="24"/>
          <w:szCs w:val="24"/>
        </w:rPr>
      </w:pPr>
    </w:p>
    <w:p w14:paraId="6AEC8495" w14:textId="30AAFF0C" w:rsidR="00634442" w:rsidRDefault="00C367F0" w:rsidP="00626734">
      <w:pPr>
        <w:shd w:val="clear" w:color="auto" w:fill="FFFFFF"/>
        <w:spacing w:line="480" w:lineRule="auto"/>
        <w:ind w:firstLine="720"/>
        <w:rPr>
          <w:rFonts w:ascii="Times New Roman" w:eastAsia="Times New Roman" w:hAnsi="Times New Roman" w:cs="Times New Roman"/>
          <w:iCs/>
          <w:sz w:val="24"/>
          <w:szCs w:val="24"/>
        </w:rPr>
      </w:pPr>
      <w:bookmarkStart w:id="6" w:name="_Hlk93138567"/>
      <w:r>
        <w:rPr>
          <w:noProof/>
        </w:rPr>
        <w:drawing>
          <wp:anchor distT="0" distB="0" distL="114300" distR="114300" simplePos="0" relativeHeight="251655680" behindDoc="0" locked="0" layoutInCell="1" allowOverlap="1" wp14:anchorId="666193E0" wp14:editId="434F7F7F">
            <wp:simplePos x="0" y="0"/>
            <wp:positionH relativeFrom="margin">
              <wp:posOffset>628650</wp:posOffset>
            </wp:positionH>
            <wp:positionV relativeFrom="paragraph">
              <wp:posOffset>2295102</wp:posOffset>
            </wp:positionV>
            <wp:extent cx="4676775" cy="201930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76775" cy="2019300"/>
                    </a:xfrm>
                    <a:prstGeom prst="rect">
                      <a:avLst/>
                    </a:prstGeom>
                  </pic:spPr>
                </pic:pic>
              </a:graphicData>
            </a:graphic>
            <wp14:sizeRelH relativeFrom="margin">
              <wp14:pctWidth>0</wp14:pctWidth>
            </wp14:sizeRelH>
            <wp14:sizeRelV relativeFrom="margin">
              <wp14:pctHeight>0</wp14:pctHeight>
            </wp14:sizeRelV>
          </wp:anchor>
        </w:drawing>
      </w:r>
      <w:r w:rsidR="00D16626">
        <w:rPr>
          <w:rFonts w:ascii="Times New Roman" w:eastAsia="Times New Roman" w:hAnsi="Times New Roman" w:cs="Times New Roman"/>
          <w:iCs/>
          <w:sz w:val="24"/>
          <w:szCs w:val="24"/>
        </w:rPr>
        <w:t xml:space="preserve">Respecting political subdivisions was a guiding principle of this map. </w:t>
      </w:r>
      <w:r w:rsidR="00D76707">
        <w:rPr>
          <w:rFonts w:ascii="Times New Roman" w:eastAsia="Times New Roman" w:hAnsi="Times New Roman" w:cs="Times New Roman"/>
          <w:iCs/>
          <w:sz w:val="24"/>
          <w:szCs w:val="24"/>
        </w:rPr>
        <w:t>The process of drawing the map</w:t>
      </w:r>
      <w:r w:rsidR="00D16626">
        <w:rPr>
          <w:rFonts w:ascii="Times New Roman" w:eastAsia="Times New Roman" w:hAnsi="Times New Roman" w:cs="Times New Roman"/>
          <w:iCs/>
          <w:sz w:val="24"/>
          <w:szCs w:val="24"/>
        </w:rPr>
        <w:t xml:space="preserve"> began by drawing districts around entire counties</w:t>
      </w:r>
      <w:r w:rsidR="00E85B78">
        <w:rPr>
          <w:rFonts w:ascii="Times New Roman" w:eastAsia="Times New Roman" w:hAnsi="Times New Roman" w:cs="Times New Roman"/>
          <w:iCs/>
          <w:sz w:val="24"/>
          <w:szCs w:val="24"/>
        </w:rPr>
        <w:t xml:space="preserve">. Then, the focus shifted </w:t>
      </w:r>
      <w:r w:rsidR="00D16626">
        <w:rPr>
          <w:rFonts w:ascii="Times New Roman" w:eastAsia="Times New Roman" w:hAnsi="Times New Roman" w:cs="Times New Roman"/>
          <w:iCs/>
          <w:sz w:val="24"/>
          <w:szCs w:val="24"/>
        </w:rPr>
        <w:t xml:space="preserve">to cities and towns to reach the </w:t>
      </w:r>
      <w:r w:rsidR="00497C48">
        <w:rPr>
          <w:rFonts w:ascii="Times New Roman" w:eastAsia="Times New Roman" w:hAnsi="Times New Roman" w:cs="Times New Roman"/>
          <w:iCs/>
          <w:sz w:val="24"/>
          <w:szCs w:val="24"/>
        </w:rPr>
        <w:t>constitutionally required</w:t>
      </w:r>
      <w:r w:rsidR="00D16626">
        <w:rPr>
          <w:rFonts w:ascii="Times New Roman" w:eastAsia="Times New Roman" w:hAnsi="Times New Roman" w:cs="Times New Roman"/>
          <w:iCs/>
          <w:sz w:val="24"/>
          <w:szCs w:val="24"/>
        </w:rPr>
        <w:t xml:space="preserve"> 794,611 people per district. </w:t>
      </w:r>
      <w:r w:rsidR="00535D50">
        <w:rPr>
          <w:rFonts w:ascii="Times New Roman" w:eastAsia="Times New Roman" w:hAnsi="Times New Roman" w:cs="Times New Roman"/>
          <w:iCs/>
          <w:sz w:val="24"/>
          <w:szCs w:val="24"/>
        </w:rPr>
        <w:t>This map keeps 431 cities and towns together, while only splitting 33. Those divisions that are split are often split in minor ways.</w:t>
      </w:r>
      <w:r w:rsidR="00150357">
        <w:rPr>
          <w:rFonts w:ascii="Times New Roman" w:eastAsia="Times New Roman" w:hAnsi="Times New Roman" w:cs="Times New Roman"/>
          <w:iCs/>
          <w:sz w:val="24"/>
          <w:szCs w:val="24"/>
        </w:rPr>
        <w:t xml:space="preserve"> The </w:t>
      </w:r>
      <w:r w:rsidR="00497C48">
        <w:rPr>
          <w:rFonts w:ascii="Times New Roman" w:eastAsia="Times New Roman" w:hAnsi="Times New Roman" w:cs="Times New Roman"/>
          <w:iCs/>
          <w:sz w:val="24"/>
          <w:szCs w:val="24"/>
        </w:rPr>
        <w:t>few</w:t>
      </w:r>
      <w:r w:rsidR="00150357">
        <w:rPr>
          <w:rFonts w:ascii="Times New Roman" w:eastAsia="Times New Roman" w:hAnsi="Times New Roman" w:cs="Times New Roman"/>
          <w:iCs/>
          <w:sz w:val="24"/>
          <w:szCs w:val="24"/>
        </w:rPr>
        <w:t xml:space="preserve"> </w:t>
      </w:r>
      <w:r w:rsidR="00497C48">
        <w:rPr>
          <w:rFonts w:ascii="Times New Roman" w:eastAsia="Times New Roman" w:hAnsi="Times New Roman" w:cs="Times New Roman"/>
          <w:iCs/>
          <w:sz w:val="24"/>
          <w:szCs w:val="24"/>
        </w:rPr>
        <w:t xml:space="preserve">substantial splits in this plane were </w:t>
      </w:r>
      <w:r w:rsidR="00150357">
        <w:rPr>
          <w:rFonts w:ascii="Times New Roman" w:eastAsia="Times New Roman" w:hAnsi="Times New Roman" w:cs="Times New Roman"/>
          <w:iCs/>
          <w:sz w:val="24"/>
          <w:szCs w:val="24"/>
        </w:rPr>
        <w:t>done out of necessity.</w:t>
      </w:r>
      <w:r w:rsidR="00535D50">
        <w:rPr>
          <w:rFonts w:ascii="Times New Roman" w:eastAsia="Times New Roman" w:hAnsi="Times New Roman" w:cs="Times New Roman"/>
          <w:iCs/>
          <w:sz w:val="24"/>
          <w:szCs w:val="24"/>
        </w:rPr>
        <w:t xml:space="preserve"> For example</w:t>
      </w:r>
      <w:r w:rsidR="00150357">
        <w:rPr>
          <w:rFonts w:ascii="Times New Roman" w:eastAsia="Times New Roman" w:hAnsi="Times New Roman" w:cs="Times New Roman"/>
          <w:iCs/>
          <w:sz w:val="24"/>
          <w:szCs w:val="24"/>
        </w:rPr>
        <w:t>, Phoenix is split five ways</w:t>
      </w:r>
      <w:r w:rsidR="00634442">
        <w:rPr>
          <w:rFonts w:ascii="Times New Roman" w:eastAsia="Times New Roman" w:hAnsi="Times New Roman" w:cs="Times New Roman"/>
          <w:iCs/>
          <w:sz w:val="24"/>
          <w:szCs w:val="24"/>
        </w:rPr>
        <w:t>, seen below:</w:t>
      </w:r>
    </w:p>
    <w:bookmarkEnd w:id="6"/>
    <w:p w14:paraId="408C2DB3" w14:textId="190D5CBA" w:rsidR="00634442" w:rsidRDefault="00634442" w:rsidP="00626734">
      <w:pPr>
        <w:shd w:val="clear" w:color="auto" w:fill="FFFFFF"/>
        <w:spacing w:line="480" w:lineRule="auto"/>
        <w:ind w:firstLine="720"/>
        <w:rPr>
          <w:rFonts w:ascii="Times New Roman" w:eastAsia="Times New Roman" w:hAnsi="Times New Roman" w:cs="Times New Roman"/>
          <w:iCs/>
          <w:sz w:val="24"/>
          <w:szCs w:val="24"/>
        </w:rPr>
      </w:pPr>
    </w:p>
    <w:p w14:paraId="0581E5BF" w14:textId="23ACB0FA" w:rsidR="00626734" w:rsidRPr="00C66BCD" w:rsidRDefault="00150357" w:rsidP="00634442">
      <w:pPr>
        <w:shd w:val="clear" w:color="auto" w:fill="FFFFFF"/>
        <w:spacing w:line="48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 xml:space="preserve"> </w:t>
      </w:r>
      <w:r w:rsidR="00E85B78">
        <w:rPr>
          <w:rFonts w:ascii="Times New Roman" w:eastAsia="Times New Roman" w:hAnsi="Times New Roman" w:cs="Times New Roman"/>
          <w:iCs/>
          <w:sz w:val="24"/>
          <w:szCs w:val="24"/>
        </w:rPr>
        <w:t>I</w:t>
      </w:r>
      <w:r>
        <w:rPr>
          <w:rFonts w:ascii="Times New Roman" w:eastAsia="Times New Roman" w:hAnsi="Times New Roman" w:cs="Times New Roman"/>
          <w:iCs/>
          <w:sz w:val="24"/>
          <w:szCs w:val="24"/>
        </w:rPr>
        <w:t>t was impossible to fit the entire city into one</w:t>
      </w:r>
      <w:r w:rsidR="00E85B78">
        <w:rPr>
          <w:rFonts w:ascii="Times New Roman" w:eastAsia="Times New Roman" w:hAnsi="Times New Roman" w:cs="Times New Roman"/>
          <w:iCs/>
          <w:sz w:val="24"/>
          <w:szCs w:val="24"/>
        </w:rPr>
        <w:t xml:space="preserve"> district because of its population, </w:t>
      </w:r>
      <w:r w:rsidR="00EA5B85">
        <w:rPr>
          <w:rFonts w:ascii="Times New Roman" w:eastAsia="Times New Roman" w:hAnsi="Times New Roman" w:cs="Times New Roman"/>
          <w:iCs/>
          <w:sz w:val="24"/>
          <w:szCs w:val="24"/>
        </w:rPr>
        <w:t>which exceeds 1.6 million</w:t>
      </w:r>
      <w:r>
        <w:rPr>
          <w:rFonts w:ascii="Times New Roman" w:eastAsia="Times New Roman" w:hAnsi="Times New Roman" w:cs="Times New Roman"/>
          <w:iCs/>
          <w:sz w:val="24"/>
          <w:szCs w:val="24"/>
        </w:rPr>
        <w:t>.</w:t>
      </w:r>
      <w:r w:rsidR="00E85B78">
        <w:rPr>
          <w:rStyle w:val="FootnoteReference"/>
          <w:rFonts w:ascii="Times New Roman" w:eastAsia="Times New Roman" w:hAnsi="Times New Roman" w:cs="Times New Roman"/>
          <w:iCs/>
          <w:sz w:val="24"/>
          <w:szCs w:val="24"/>
        </w:rPr>
        <w:footnoteReference w:id="31"/>
      </w:r>
      <w:r w:rsidR="00EA5B85">
        <w:rPr>
          <w:rFonts w:ascii="Times New Roman" w:eastAsia="Times New Roman" w:hAnsi="Times New Roman" w:cs="Times New Roman"/>
          <w:iCs/>
          <w:sz w:val="24"/>
          <w:szCs w:val="24"/>
        </w:rPr>
        <w:t xml:space="preserve"> Even using just two districts would fail to accurately </w:t>
      </w:r>
      <w:r w:rsidR="00D857E0">
        <w:rPr>
          <w:rFonts w:ascii="Times New Roman" w:eastAsia="Times New Roman" w:hAnsi="Times New Roman" w:cs="Times New Roman"/>
          <w:iCs/>
          <w:sz w:val="24"/>
          <w:szCs w:val="24"/>
        </w:rPr>
        <w:t>capture the greater metropolitan area,</w:t>
      </w:r>
      <w:r w:rsidR="00EA5B85">
        <w:rPr>
          <w:rFonts w:ascii="Times New Roman" w:eastAsia="Times New Roman" w:hAnsi="Times New Roman" w:cs="Times New Roman"/>
          <w:iCs/>
          <w:sz w:val="24"/>
          <w:szCs w:val="24"/>
        </w:rPr>
        <w:t xml:space="preserve"> demographic </w:t>
      </w:r>
      <w:r w:rsidR="00D857E0">
        <w:rPr>
          <w:rFonts w:ascii="Times New Roman" w:eastAsia="Times New Roman" w:hAnsi="Times New Roman" w:cs="Times New Roman"/>
          <w:iCs/>
          <w:sz w:val="24"/>
          <w:szCs w:val="24"/>
        </w:rPr>
        <w:t xml:space="preserve">trends, </w:t>
      </w:r>
      <w:r w:rsidR="00EA5B85">
        <w:rPr>
          <w:rFonts w:ascii="Times New Roman" w:eastAsia="Times New Roman" w:hAnsi="Times New Roman" w:cs="Times New Roman"/>
          <w:iCs/>
          <w:sz w:val="24"/>
          <w:szCs w:val="24"/>
        </w:rPr>
        <w:t xml:space="preserve">and geographic </w:t>
      </w:r>
      <w:r w:rsidR="00D857E0">
        <w:rPr>
          <w:rFonts w:ascii="Times New Roman" w:eastAsia="Times New Roman" w:hAnsi="Times New Roman" w:cs="Times New Roman"/>
          <w:iCs/>
          <w:sz w:val="24"/>
          <w:szCs w:val="24"/>
        </w:rPr>
        <w:t xml:space="preserve">boundaries. </w:t>
      </w:r>
      <w:r w:rsidR="00497C48">
        <w:rPr>
          <w:rFonts w:ascii="Times New Roman" w:eastAsia="Times New Roman" w:hAnsi="Times New Roman" w:cs="Times New Roman"/>
          <w:iCs/>
          <w:sz w:val="24"/>
          <w:szCs w:val="24"/>
        </w:rPr>
        <w:t>As a result, f</w:t>
      </w:r>
      <w:r w:rsidR="00D857E0">
        <w:rPr>
          <w:rFonts w:ascii="Times New Roman" w:eastAsia="Times New Roman" w:hAnsi="Times New Roman" w:cs="Times New Roman"/>
          <w:iCs/>
          <w:sz w:val="24"/>
          <w:szCs w:val="24"/>
        </w:rPr>
        <w:t xml:space="preserve">ive districts were used to accurately represent Phoenix voters. For example, District 8, </w:t>
      </w:r>
      <w:r w:rsidR="00D857E0">
        <w:rPr>
          <w:rFonts w:ascii="Times New Roman" w:eastAsia="Times New Roman" w:hAnsi="Times New Roman" w:cs="Times New Roman"/>
          <w:i/>
          <w:sz w:val="24"/>
          <w:szCs w:val="24"/>
        </w:rPr>
        <w:t>infra</w:t>
      </w:r>
      <w:r w:rsidR="00D857E0">
        <w:rPr>
          <w:rFonts w:ascii="Times New Roman" w:eastAsia="Times New Roman" w:hAnsi="Times New Roman" w:cs="Times New Roman"/>
          <w:iCs/>
          <w:sz w:val="24"/>
          <w:szCs w:val="24"/>
        </w:rPr>
        <w:t>, creates a Hispanic majority. This would be impossible to create if Phoenix were only composed of two districts.</w:t>
      </w:r>
    </w:p>
    <w:p w14:paraId="6595A771" w14:textId="3C125826" w:rsidR="00CA18C9" w:rsidRPr="00870E7D" w:rsidRDefault="003721DB" w:rsidP="00870E7D">
      <w:pPr>
        <w:numPr>
          <w:ilvl w:val="2"/>
          <w:numId w:val="3"/>
        </w:numPr>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Compactness</w:t>
      </w:r>
    </w:p>
    <w:p w14:paraId="3B6F5913" w14:textId="1FA8ED55" w:rsidR="001F70EB" w:rsidRDefault="00F54FA9" w:rsidP="00E573B2">
      <w:pPr>
        <w:shd w:val="clear" w:color="auto" w:fill="FFFFFF"/>
        <w:spacing w:line="480" w:lineRule="auto"/>
        <w:ind w:firstLine="720"/>
        <w:rPr>
          <w:rFonts w:ascii="Times New Roman" w:eastAsia="Times New Roman" w:hAnsi="Times New Roman" w:cs="Times New Roman"/>
          <w:sz w:val="24"/>
          <w:szCs w:val="24"/>
        </w:rPr>
      </w:pPr>
      <w:r w:rsidRPr="00F54FA9">
        <w:rPr>
          <w:rFonts w:ascii="Times New Roman" w:eastAsia="Times New Roman" w:hAnsi="Times New Roman" w:cs="Times New Roman"/>
          <w:sz w:val="24"/>
          <w:szCs w:val="24"/>
        </w:rPr>
        <w:t xml:space="preserve">Compactness </w:t>
      </w:r>
      <w:r w:rsidR="00320DE9">
        <w:rPr>
          <w:rFonts w:ascii="Times New Roman" w:eastAsia="Times New Roman" w:hAnsi="Times New Roman" w:cs="Times New Roman"/>
          <w:sz w:val="24"/>
          <w:szCs w:val="24"/>
        </w:rPr>
        <w:t xml:space="preserve">measures are one way to visualize and compare </w:t>
      </w:r>
      <w:r w:rsidRPr="00F54FA9">
        <w:rPr>
          <w:rFonts w:ascii="Times New Roman" w:eastAsia="Times New Roman" w:hAnsi="Times New Roman" w:cs="Times New Roman"/>
          <w:sz w:val="24"/>
          <w:szCs w:val="24"/>
        </w:rPr>
        <w:t>the</w:t>
      </w:r>
      <w:r w:rsidR="00C90F9E">
        <w:rPr>
          <w:rFonts w:ascii="Times New Roman" w:eastAsia="Times New Roman" w:hAnsi="Times New Roman" w:cs="Times New Roman"/>
          <w:sz w:val="24"/>
          <w:szCs w:val="24"/>
        </w:rPr>
        <w:t xml:space="preserve"> </w:t>
      </w:r>
      <w:r w:rsidRPr="00F54FA9">
        <w:rPr>
          <w:rFonts w:ascii="Times New Roman" w:eastAsia="Times New Roman" w:hAnsi="Times New Roman" w:cs="Times New Roman"/>
          <w:sz w:val="24"/>
          <w:szCs w:val="24"/>
        </w:rPr>
        <w:t>physical appearance of district</w:t>
      </w:r>
      <w:r w:rsidR="00320DE9">
        <w:rPr>
          <w:rFonts w:ascii="Times New Roman" w:eastAsia="Times New Roman" w:hAnsi="Times New Roman" w:cs="Times New Roman"/>
          <w:sz w:val="24"/>
          <w:szCs w:val="24"/>
        </w:rPr>
        <w:t>s</w:t>
      </w:r>
      <w:r w:rsidRPr="00F54FA9">
        <w:rPr>
          <w:rFonts w:ascii="Times New Roman" w:eastAsia="Times New Roman" w:hAnsi="Times New Roman" w:cs="Times New Roman"/>
          <w:sz w:val="24"/>
          <w:szCs w:val="24"/>
        </w:rPr>
        <w:t>.</w:t>
      </w:r>
      <w:r w:rsidR="00C90F9E">
        <w:rPr>
          <w:rFonts w:ascii="Times New Roman" w:eastAsia="Times New Roman" w:hAnsi="Times New Roman" w:cs="Times New Roman"/>
          <w:sz w:val="24"/>
          <w:szCs w:val="24"/>
        </w:rPr>
        <w:t xml:space="preserve"> </w:t>
      </w:r>
      <w:r w:rsidR="00320DE9">
        <w:rPr>
          <w:rFonts w:ascii="Times New Roman" w:eastAsia="Times New Roman" w:hAnsi="Times New Roman" w:cs="Times New Roman"/>
          <w:sz w:val="24"/>
          <w:szCs w:val="24"/>
        </w:rPr>
        <w:t>Compactness is difficult to define in standard terms</w:t>
      </w:r>
      <w:r w:rsidR="00634442">
        <w:rPr>
          <w:rFonts w:ascii="Times New Roman" w:eastAsia="Times New Roman" w:hAnsi="Times New Roman" w:cs="Times New Roman"/>
          <w:sz w:val="24"/>
          <w:szCs w:val="24"/>
        </w:rPr>
        <w:t>,</w:t>
      </w:r>
      <w:r w:rsidR="003865E4">
        <w:rPr>
          <w:rFonts w:ascii="Times New Roman" w:eastAsia="Times New Roman" w:hAnsi="Times New Roman" w:cs="Times New Roman"/>
          <w:sz w:val="24"/>
          <w:szCs w:val="24"/>
        </w:rPr>
        <w:t xml:space="preserve"> though there are several ways to measure it</w:t>
      </w:r>
      <w:r w:rsidR="00320DE9">
        <w:rPr>
          <w:rFonts w:ascii="Times New Roman" w:eastAsia="Times New Roman" w:hAnsi="Times New Roman" w:cs="Times New Roman"/>
          <w:sz w:val="24"/>
          <w:szCs w:val="24"/>
        </w:rPr>
        <w:t xml:space="preserve">. It generally </w:t>
      </w:r>
      <w:r w:rsidRPr="00F54FA9">
        <w:rPr>
          <w:rFonts w:ascii="Times New Roman" w:eastAsia="Times New Roman" w:hAnsi="Times New Roman" w:cs="Times New Roman"/>
          <w:sz w:val="24"/>
          <w:szCs w:val="24"/>
        </w:rPr>
        <w:t>means that the people who reside in a</w:t>
      </w:r>
      <w:r w:rsidR="00C90F9E">
        <w:rPr>
          <w:rFonts w:ascii="Times New Roman" w:eastAsia="Times New Roman" w:hAnsi="Times New Roman" w:cs="Times New Roman"/>
          <w:sz w:val="24"/>
          <w:szCs w:val="24"/>
        </w:rPr>
        <w:t xml:space="preserve"> </w:t>
      </w:r>
      <w:r w:rsidRPr="00F54FA9">
        <w:rPr>
          <w:rFonts w:ascii="Times New Roman" w:eastAsia="Times New Roman" w:hAnsi="Times New Roman" w:cs="Times New Roman"/>
          <w:sz w:val="24"/>
          <w:szCs w:val="24"/>
        </w:rPr>
        <w:t>district live near each other.</w:t>
      </w:r>
      <w:r>
        <w:rPr>
          <w:rStyle w:val="FootnoteReference"/>
          <w:rFonts w:ascii="Times New Roman" w:eastAsia="Times New Roman" w:hAnsi="Times New Roman" w:cs="Times New Roman"/>
          <w:sz w:val="24"/>
          <w:szCs w:val="24"/>
        </w:rPr>
        <w:footnoteReference w:id="32"/>
      </w:r>
      <w:r w:rsidRPr="00F54FA9">
        <w:rPr>
          <w:rFonts w:ascii="Times New Roman" w:eastAsia="Times New Roman" w:hAnsi="Times New Roman" w:cs="Times New Roman"/>
          <w:sz w:val="24"/>
          <w:szCs w:val="24"/>
        </w:rPr>
        <w:t xml:space="preserve"> However, </w:t>
      </w:r>
      <w:r w:rsidR="003865E4">
        <w:rPr>
          <w:rFonts w:ascii="Times New Roman" w:eastAsia="Times New Roman" w:hAnsi="Times New Roman" w:cs="Times New Roman"/>
          <w:sz w:val="24"/>
          <w:szCs w:val="24"/>
        </w:rPr>
        <w:t>it</w:t>
      </w:r>
      <w:r w:rsidR="00320DE9">
        <w:rPr>
          <w:rFonts w:ascii="Times New Roman" w:eastAsia="Times New Roman" w:hAnsi="Times New Roman" w:cs="Times New Roman"/>
          <w:sz w:val="24"/>
          <w:szCs w:val="24"/>
        </w:rPr>
        <w:t xml:space="preserve"> is not always possible</w:t>
      </w:r>
      <w:r w:rsidR="003865E4">
        <w:rPr>
          <w:rFonts w:ascii="Times New Roman" w:eastAsia="Times New Roman" w:hAnsi="Times New Roman" w:cs="Times New Roman"/>
          <w:sz w:val="24"/>
          <w:szCs w:val="24"/>
        </w:rPr>
        <w:t xml:space="preserve"> to draw perfectly compact districts in which everyone lives near everyone else</w:t>
      </w:r>
      <w:r w:rsidR="00320DE9">
        <w:rPr>
          <w:rFonts w:ascii="Times New Roman" w:eastAsia="Times New Roman" w:hAnsi="Times New Roman" w:cs="Times New Roman"/>
          <w:sz w:val="24"/>
          <w:szCs w:val="24"/>
        </w:rPr>
        <w:t xml:space="preserve">. </w:t>
      </w:r>
      <w:r w:rsidR="003865E4">
        <w:rPr>
          <w:rFonts w:ascii="Times New Roman" w:eastAsia="Times New Roman" w:hAnsi="Times New Roman" w:cs="Times New Roman"/>
          <w:sz w:val="24"/>
          <w:szCs w:val="24"/>
        </w:rPr>
        <w:t>R</w:t>
      </w:r>
      <w:r w:rsidRPr="00F54FA9">
        <w:rPr>
          <w:rFonts w:ascii="Times New Roman" w:eastAsia="Times New Roman" w:hAnsi="Times New Roman" w:cs="Times New Roman"/>
          <w:sz w:val="24"/>
          <w:szCs w:val="24"/>
        </w:rPr>
        <w:t>ural</w:t>
      </w:r>
      <w:r w:rsidR="00C90F9E">
        <w:rPr>
          <w:rFonts w:ascii="Times New Roman" w:eastAsia="Times New Roman" w:hAnsi="Times New Roman" w:cs="Times New Roman"/>
          <w:sz w:val="24"/>
          <w:szCs w:val="24"/>
        </w:rPr>
        <w:t xml:space="preserve"> </w:t>
      </w:r>
      <w:r w:rsidRPr="00F54FA9">
        <w:rPr>
          <w:rFonts w:ascii="Times New Roman" w:eastAsia="Times New Roman" w:hAnsi="Times New Roman" w:cs="Times New Roman"/>
          <w:sz w:val="24"/>
          <w:szCs w:val="24"/>
        </w:rPr>
        <w:t xml:space="preserve">districts may cover a large </w:t>
      </w:r>
      <w:r w:rsidR="003865E4">
        <w:rPr>
          <w:rFonts w:ascii="Times New Roman" w:eastAsia="Times New Roman" w:hAnsi="Times New Roman" w:cs="Times New Roman"/>
          <w:sz w:val="24"/>
          <w:szCs w:val="24"/>
        </w:rPr>
        <w:t xml:space="preserve">physical </w:t>
      </w:r>
      <w:r w:rsidRPr="00F54FA9">
        <w:rPr>
          <w:rFonts w:ascii="Times New Roman" w:eastAsia="Times New Roman" w:hAnsi="Times New Roman" w:cs="Times New Roman"/>
          <w:sz w:val="24"/>
          <w:szCs w:val="24"/>
        </w:rPr>
        <w:t>area</w:t>
      </w:r>
      <w:r w:rsidR="003865E4">
        <w:rPr>
          <w:rFonts w:ascii="Times New Roman" w:eastAsia="Times New Roman" w:hAnsi="Times New Roman" w:cs="Times New Roman"/>
          <w:sz w:val="24"/>
          <w:szCs w:val="24"/>
        </w:rPr>
        <w:t xml:space="preserve">. For example, District 1 </w:t>
      </w:r>
      <w:r w:rsidR="001F70EB">
        <w:rPr>
          <w:rFonts w:ascii="Times New Roman" w:eastAsia="Times New Roman" w:hAnsi="Times New Roman" w:cs="Times New Roman"/>
          <w:sz w:val="24"/>
          <w:szCs w:val="24"/>
        </w:rPr>
        <w:t>in this proposed plan covers nearly half of Arizona in geographical terms, yet its population is the same as any other district:</w:t>
      </w:r>
      <w:r w:rsidR="001F70EB" w:rsidRPr="001F70EB">
        <w:rPr>
          <w:noProof/>
        </w:rPr>
        <w:t xml:space="preserve"> </w:t>
      </w:r>
    </w:p>
    <w:p w14:paraId="0AD530EA" w14:textId="2EA59964" w:rsidR="001F70EB" w:rsidRDefault="001F70EB" w:rsidP="00E573B2">
      <w:pPr>
        <w:shd w:val="clear" w:color="auto" w:fill="FFFFFF"/>
        <w:spacing w:line="480" w:lineRule="auto"/>
        <w:ind w:firstLine="720"/>
        <w:rPr>
          <w:rFonts w:ascii="Times New Roman" w:eastAsia="Times New Roman" w:hAnsi="Times New Roman" w:cs="Times New Roman"/>
          <w:sz w:val="24"/>
          <w:szCs w:val="24"/>
        </w:rPr>
      </w:pPr>
      <w:r w:rsidRPr="001F70EB">
        <w:rPr>
          <w:rFonts w:ascii="Times New Roman" w:eastAsia="Times New Roman" w:hAnsi="Times New Roman" w:cs="Times New Roman"/>
          <w:noProof/>
          <w:sz w:val="24"/>
          <w:szCs w:val="24"/>
        </w:rPr>
        <w:lastRenderedPageBreak/>
        <w:drawing>
          <wp:anchor distT="0" distB="0" distL="114300" distR="114300" simplePos="0" relativeHeight="251660800" behindDoc="0" locked="0" layoutInCell="1" allowOverlap="1" wp14:anchorId="6F9554B7" wp14:editId="50A52B4A">
            <wp:simplePos x="0" y="0"/>
            <wp:positionH relativeFrom="margin">
              <wp:posOffset>1057910</wp:posOffset>
            </wp:positionH>
            <wp:positionV relativeFrom="paragraph">
              <wp:posOffset>254000</wp:posOffset>
            </wp:positionV>
            <wp:extent cx="3623310" cy="4271010"/>
            <wp:effectExtent l="0" t="0" r="0" b="0"/>
            <wp:wrapTopAndBottom/>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23310" cy="4271010"/>
                    </a:xfrm>
                    <a:prstGeom prst="rect">
                      <a:avLst/>
                    </a:prstGeom>
                  </pic:spPr>
                </pic:pic>
              </a:graphicData>
            </a:graphic>
            <wp14:sizeRelH relativeFrom="margin">
              <wp14:pctWidth>0</wp14:pctWidth>
            </wp14:sizeRelH>
            <wp14:sizeRelV relativeFrom="margin">
              <wp14:pctHeight>0</wp14:pctHeight>
            </wp14:sizeRelV>
          </wp:anchor>
        </w:drawing>
      </w:r>
    </w:p>
    <w:p w14:paraId="5BB6F209" w14:textId="77777777" w:rsidR="001F70EB" w:rsidRDefault="001F70EB" w:rsidP="00E573B2">
      <w:pPr>
        <w:shd w:val="clear" w:color="auto" w:fill="FFFFFF"/>
        <w:spacing w:line="480" w:lineRule="auto"/>
        <w:ind w:firstLine="720"/>
        <w:rPr>
          <w:rFonts w:ascii="Times New Roman" w:eastAsia="Times New Roman" w:hAnsi="Times New Roman" w:cs="Times New Roman"/>
          <w:sz w:val="24"/>
          <w:szCs w:val="24"/>
        </w:rPr>
      </w:pPr>
    </w:p>
    <w:p w14:paraId="4A584148" w14:textId="6E23082C" w:rsidR="00E1611C" w:rsidRDefault="001F70EB" w:rsidP="00E573B2">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3865E4">
        <w:rPr>
          <w:rFonts w:ascii="Times New Roman" w:eastAsia="Times New Roman" w:hAnsi="Times New Roman" w:cs="Times New Roman"/>
          <w:sz w:val="24"/>
          <w:szCs w:val="24"/>
        </w:rPr>
        <w:t xml:space="preserve">district might </w:t>
      </w:r>
      <w:r>
        <w:rPr>
          <w:rFonts w:ascii="Times New Roman" w:eastAsia="Times New Roman" w:hAnsi="Times New Roman" w:cs="Times New Roman"/>
          <w:sz w:val="24"/>
          <w:szCs w:val="24"/>
        </w:rPr>
        <w:t xml:space="preserve">also </w:t>
      </w:r>
      <w:r w:rsidR="00F54FA9" w:rsidRPr="00F54FA9">
        <w:rPr>
          <w:rFonts w:ascii="Times New Roman" w:eastAsia="Times New Roman" w:hAnsi="Times New Roman" w:cs="Times New Roman"/>
          <w:sz w:val="24"/>
          <w:szCs w:val="24"/>
        </w:rPr>
        <w:t xml:space="preserve">follow </w:t>
      </w:r>
      <w:r w:rsidR="003865E4">
        <w:rPr>
          <w:rFonts w:ascii="Times New Roman" w:eastAsia="Times New Roman" w:hAnsi="Times New Roman" w:cs="Times New Roman"/>
          <w:sz w:val="24"/>
          <w:szCs w:val="24"/>
        </w:rPr>
        <w:t xml:space="preserve">a </w:t>
      </w:r>
      <w:r w:rsidR="00F54FA9" w:rsidRPr="00F54FA9">
        <w:rPr>
          <w:rFonts w:ascii="Times New Roman" w:eastAsia="Times New Roman" w:hAnsi="Times New Roman" w:cs="Times New Roman"/>
          <w:sz w:val="24"/>
          <w:szCs w:val="24"/>
        </w:rPr>
        <w:t xml:space="preserve">mountain range or </w:t>
      </w:r>
      <w:r w:rsidR="003865E4">
        <w:rPr>
          <w:rFonts w:ascii="Times New Roman" w:eastAsia="Times New Roman" w:hAnsi="Times New Roman" w:cs="Times New Roman"/>
          <w:sz w:val="24"/>
          <w:szCs w:val="24"/>
        </w:rPr>
        <w:t xml:space="preserve">a </w:t>
      </w:r>
      <w:r w:rsidR="00F54FA9" w:rsidRPr="00F54FA9">
        <w:rPr>
          <w:rFonts w:ascii="Times New Roman" w:eastAsia="Times New Roman" w:hAnsi="Times New Roman" w:cs="Times New Roman"/>
          <w:sz w:val="24"/>
          <w:szCs w:val="24"/>
        </w:rPr>
        <w:t>river</w:t>
      </w:r>
      <w:r w:rsidR="003865E4">
        <w:rPr>
          <w:rFonts w:ascii="Times New Roman" w:eastAsia="Times New Roman" w:hAnsi="Times New Roman" w:cs="Times New Roman"/>
          <w:sz w:val="24"/>
          <w:szCs w:val="24"/>
        </w:rPr>
        <w:t>, giving it a strange shape</w:t>
      </w:r>
      <w:r>
        <w:rPr>
          <w:rFonts w:ascii="Times New Roman" w:eastAsia="Times New Roman" w:hAnsi="Times New Roman" w:cs="Times New Roman"/>
          <w:sz w:val="24"/>
          <w:szCs w:val="24"/>
        </w:rPr>
        <w:t>.</w:t>
      </w:r>
      <w:r w:rsidR="00F54FA9" w:rsidRPr="00F54F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00F54FA9" w:rsidRPr="00F54FA9">
        <w:rPr>
          <w:rFonts w:ascii="Times New Roman" w:eastAsia="Times New Roman" w:hAnsi="Times New Roman" w:cs="Times New Roman"/>
          <w:sz w:val="24"/>
          <w:szCs w:val="24"/>
        </w:rPr>
        <w:t>ddly shaped or unusually sprawling districts</w:t>
      </w:r>
      <w:r w:rsidR="00C90F9E">
        <w:rPr>
          <w:rFonts w:ascii="Times New Roman" w:eastAsia="Times New Roman" w:hAnsi="Times New Roman" w:cs="Times New Roman"/>
          <w:sz w:val="24"/>
          <w:szCs w:val="24"/>
        </w:rPr>
        <w:t xml:space="preserve"> </w:t>
      </w:r>
      <w:r w:rsidR="00F54FA9" w:rsidRPr="00F54FA9">
        <w:rPr>
          <w:rFonts w:ascii="Times New Roman" w:eastAsia="Times New Roman" w:hAnsi="Times New Roman" w:cs="Times New Roman"/>
          <w:sz w:val="24"/>
          <w:szCs w:val="24"/>
        </w:rPr>
        <w:t>can be signs of gerrymandering, or of racial discrimination</w:t>
      </w:r>
      <w:r>
        <w:rPr>
          <w:rFonts w:ascii="Times New Roman" w:eastAsia="Times New Roman" w:hAnsi="Times New Roman" w:cs="Times New Roman"/>
          <w:sz w:val="24"/>
          <w:szCs w:val="24"/>
        </w:rPr>
        <w:t xml:space="preserve"> as well.</w:t>
      </w:r>
      <w:r w:rsidR="00C90F9E">
        <w:rPr>
          <w:rStyle w:val="FootnoteReference"/>
          <w:rFonts w:ascii="Times New Roman" w:eastAsia="Times New Roman" w:hAnsi="Times New Roman" w:cs="Times New Roman"/>
          <w:sz w:val="24"/>
          <w:szCs w:val="24"/>
        </w:rPr>
        <w:footnoteReference w:id="33"/>
      </w:r>
      <w:r>
        <w:rPr>
          <w:rFonts w:ascii="Times New Roman" w:eastAsia="Times New Roman" w:hAnsi="Times New Roman" w:cs="Times New Roman"/>
          <w:sz w:val="24"/>
          <w:szCs w:val="24"/>
        </w:rPr>
        <w:t xml:space="preserve"> To combat this with some degree of consistency, redistrictors use</w:t>
      </w:r>
      <w:r w:rsidR="00E161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several mathematical tests </w:t>
      </w:r>
      <w:r w:rsidR="00E1611C" w:rsidRPr="00E1611C">
        <w:rPr>
          <w:rFonts w:ascii="Times New Roman" w:eastAsia="Times New Roman" w:hAnsi="Times New Roman" w:cs="Times New Roman"/>
          <w:sz w:val="24"/>
          <w:szCs w:val="24"/>
        </w:rPr>
        <w:t xml:space="preserve">that </w:t>
      </w:r>
      <w:r w:rsidR="009C1B2F" w:rsidRPr="00E1611C">
        <w:rPr>
          <w:rFonts w:ascii="Times New Roman" w:eastAsia="Times New Roman" w:hAnsi="Times New Roman" w:cs="Times New Roman"/>
          <w:sz w:val="24"/>
          <w:szCs w:val="24"/>
        </w:rPr>
        <w:t>consider</w:t>
      </w:r>
      <w:r w:rsidR="00E1611C" w:rsidRPr="00E1611C">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shape of a</w:t>
      </w:r>
      <w:r w:rsidR="00E1611C" w:rsidRPr="00E1611C">
        <w:rPr>
          <w:rFonts w:ascii="Times New Roman" w:eastAsia="Times New Roman" w:hAnsi="Times New Roman" w:cs="Times New Roman"/>
          <w:sz w:val="24"/>
          <w:szCs w:val="24"/>
        </w:rPr>
        <w:t xml:space="preserve"> district’s </w:t>
      </w:r>
      <w:r>
        <w:rPr>
          <w:rFonts w:ascii="Times New Roman" w:eastAsia="Times New Roman" w:hAnsi="Times New Roman" w:cs="Times New Roman"/>
          <w:sz w:val="24"/>
          <w:szCs w:val="24"/>
        </w:rPr>
        <w:t>lines (jagged, smooth, or sprawling)</w:t>
      </w:r>
      <w:r w:rsidR="00F23DF5">
        <w:rPr>
          <w:rFonts w:ascii="Times New Roman" w:eastAsia="Times New Roman" w:hAnsi="Times New Roman" w:cs="Times New Roman"/>
          <w:sz w:val="24"/>
          <w:szCs w:val="24"/>
        </w:rPr>
        <w:t>.</w:t>
      </w:r>
      <w:r w:rsidR="00E1611C">
        <w:rPr>
          <w:rStyle w:val="FootnoteReference"/>
          <w:rFonts w:ascii="Times New Roman" w:eastAsia="Times New Roman" w:hAnsi="Times New Roman" w:cs="Times New Roman"/>
          <w:sz w:val="24"/>
          <w:szCs w:val="24"/>
        </w:rPr>
        <w:footnoteReference w:id="34"/>
      </w:r>
    </w:p>
    <w:p w14:paraId="564AF03F" w14:textId="64DDEA72" w:rsidR="00F23DF5" w:rsidRDefault="00F23DF5" w:rsidP="00E573B2">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One such measure is Roeck compactness, which is a ratio of a district’s area compared to the area of the smallest circle that will completely encompass the district. As such, a perfectly circular district may have a Roeck compactness score of 1, while a long narrow district (like District 2 in this proposed plan</w:t>
      </w:r>
      <w:r>
        <w:rPr>
          <w:rStyle w:val="FootnoteReference"/>
          <w:rFonts w:ascii="Times New Roman" w:eastAsia="Times New Roman" w:hAnsi="Times New Roman" w:cs="Times New Roman"/>
          <w:sz w:val="24"/>
          <w:szCs w:val="24"/>
        </w:rPr>
        <w:footnoteReference w:id="35"/>
      </w:r>
      <w:r>
        <w:rPr>
          <w:rFonts w:ascii="Times New Roman" w:eastAsia="Times New Roman" w:hAnsi="Times New Roman" w:cs="Times New Roman"/>
          <w:sz w:val="24"/>
          <w:szCs w:val="24"/>
        </w:rPr>
        <w:t xml:space="preserve">) may have a score closer to 0. </w:t>
      </w:r>
      <w:r w:rsidR="00F43E00">
        <w:rPr>
          <w:rFonts w:ascii="Times New Roman" w:eastAsia="Times New Roman" w:hAnsi="Times New Roman" w:cs="Times New Roman"/>
          <w:sz w:val="24"/>
          <w:szCs w:val="24"/>
        </w:rPr>
        <w:t xml:space="preserve">Another measure, Schwartzberg, compares the district’s perimeter with the perimeter of a circle containing the same area. On this scale, a score of 1 represents the most compact district possible, while higher numbers represent </w:t>
      </w:r>
      <w:r w:rsidR="008F0AA8">
        <w:rPr>
          <w:rFonts w:ascii="Times New Roman" w:eastAsia="Times New Roman" w:hAnsi="Times New Roman" w:cs="Times New Roman"/>
          <w:sz w:val="24"/>
          <w:szCs w:val="24"/>
        </w:rPr>
        <w:t>progressively less compact districts. The final measure that we will examine is Polsby-Popper</w:t>
      </w:r>
      <w:r w:rsidR="00643197">
        <w:rPr>
          <w:rFonts w:ascii="Times New Roman" w:eastAsia="Times New Roman" w:hAnsi="Times New Roman" w:cs="Times New Roman"/>
          <w:sz w:val="24"/>
          <w:szCs w:val="24"/>
        </w:rPr>
        <w:t>, which compares the area of a district to the area of a circle with the district’s same perimeter. While similar to Schwartzberg, Polsby-Popper is a ratio, so a score of 1 is the most compact while a score of 0 is the least compact.</w:t>
      </w:r>
      <w:r w:rsidR="00823C6B">
        <w:rPr>
          <w:rFonts w:ascii="Times New Roman" w:eastAsia="Times New Roman" w:hAnsi="Times New Roman" w:cs="Times New Roman"/>
          <w:sz w:val="24"/>
          <w:szCs w:val="24"/>
        </w:rPr>
        <w:t xml:space="preserve"> Below is a table of </w:t>
      </w:r>
      <w:r w:rsidR="00196DE6">
        <w:rPr>
          <w:rFonts w:ascii="Times New Roman" w:eastAsia="Times New Roman" w:hAnsi="Times New Roman" w:cs="Times New Roman"/>
          <w:sz w:val="24"/>
          <w:szCs w:val="24"/>
        </w:rPr>
        <w:t xml:space="preserve">these measures for this proposed plan and for the </w:t>
      </w:r>
      <w:r w:rsidR="00D451D2">
        <w:rPr>
          <w:rFonts w:ascii="Times New Roman" w:eastAsia="Times New Roman" w:hAnsi="Times New Roman" w:cs="Times New Roman"/>
          <w:sz w:val="24"/>
          <w:szCs w:val="24"/>
        </w:rPr>
        <w:t xml:space="preserve">2011 </w:t>
      </w:r>
      <w:r w:rsidR="00196DE6">
        <w:rPr>
          <w:rFonts w:ascii="Times New Roman" w:eastAsia="Times New Roman" w:hAnsi="Times New Roman" w:cs="Times New Roman"/>
          <w:sz w:val="24"/>
          <w:szCs w:val="24"/>
        </w:rPr>
        <w:t>enacted plan</w:t>
      </w:r>
      <w:r w:rsidR="00D451D2">
        <w:rPr>
          <w:rFonts w:ascii="Times New Roman" w:eastAsia="Times New Roman" w:hAnsi="Times New Roman" w:cs="Times New Roman"/>
          <w:sz w:val="24"/>
          <w:szCs w:val="24"/>
        </w:rPr>
        <w:t xml:space="preserve"> (Schwartzberg measures were unavailable for the 2011 enacted plan)</w:t>
      </w:r>
      <w:r w:rsidR="00196DE6">
        <w:rPr>
          <w:rFonts w:ascii="Times New Roman" w:eastAsia="Times New Roman" w:hAnsi="Times New Roman" w:cs="Times New Roman"/>
          <w:sz w:val="24"/>
          <w:szCs w:val="24"/>
        </w:rPr>
        <w:t>:</w:t>
      </w:r>
    </w:p>
    <w:p w14:paraId="7947813C" w14:textId="77777777" w:rsidR="00B0432A" w:rsidRDefault="00B0432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4F46367" w14:textId="17C1A924" w:rsidR="00D451D2" w:rsidRPr="00B0432A" w:rsidRDefault="00B0432A" w:rsidP="00D451D2">
      <w:pPr>
        <w:shd w:val="clear" w:color="auto" w:fill="FFFFFF"/>
        <w:spacing w:line="480" w:lineRule="auto"/>
        <w:rPr>
          <w:rFonts w:ascii="Times New Roman" w:eastAsia="Times New Roman" w:hAnsi="Times New Roman" w:cs="Times New Roman"/>
          <w:sz w:val="24"/>
          <w:szCs w:val="24"/>
        </w:rPr>
      </w:pPr>
      <w:r w:rsidRPr="00B0432A">
        <w:rPr>
          <w:rFonts w:ascii="Times New Roman" w:eastAsia="Times New Roman" w:hAnsi="Times New Roman" w:cs="Times New Roman"/>
          <w:noProof/>
          <w:sz w:val="24"/>
          <w:szCs w:val="24"/>
        </w:rPr>
        <w:lastRenderedPageBreak/>
        <w:drawing>
          <wp:anchor distT="0" distB="0" distL="114300" distR="114300" simplePos="0" relativeHeight="251661824" behindDoc="0" locked="0" layoutInCell="1" allowOverlap="1" wp14:anchorId="41E78B30" wp14:editId="390BE0F3">
            <wp:simplePos x="0" y="0"/>
            <wp:positionH relativeFrom="column">
              <wp:posOffset>0</wp:posOffset>
            </wp:positionH>
            <wp:positionV relativeFrom="paragraph">
              <wp:posOffset>0</wp:posOffset>
            </wp:positionV>
            <wp:extent cx="5943600" cy="4057650"/>
            <wp:effectExtent l="0" t="0" r="0" b="0"/>
            <wp:wrapTopAndBottom/>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057650"/>
                    </a:xfrm>
                    <a:prstGeom prst="rect">
                      <a:avLst/>
                    </a:prstGeom>
                  </pic:spPr>
                </pic:pic>
              </a:graphicData>
            </a:graphic>
          </wp:anchor>
        </w:drawing>
      </w:r>
    </w:p>
    <w:p w14:paraId="7D6C413C" w14:textId="7D092D3E" w:rsidR="007F751A" w:rsidRDefault="00870E7D" w:rsidP="007F751A">
      <w:pPr>
        <w:shd w:val="clear" w:color="auto" w:fill="FFFFFF"/>
        <w:spacing w:line="48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bookmarkStart w:id="7" w:name="_Hlk93160955"/>
      <w:r>
        <w:rPr>
          <w:rFonts w:ascii="Times New Roman" w:eastAsia="Times New Roman" w:hAnsi="Times New Roman" w:cs="Times New Roman"/>
          <w:iCs/>
          <w:sz w:val="24"/>
          <w:szCs w:val="24"/>
        </w:rPr>
        <w:t>From the above data, this proposed plan does not clearly outperform the 2011 enacted plan</w:t>
      </w:r>
      <w:r w:rsidR="00B0432A">
        <w:rPr>
          <w:rFonts w:ascii="Times New Roman" w:eastAsia="Times New Roman" w:hAnsi="Times New Roman" w:cs="Times New Roman"/>
          <w:iCs/>
          <w:sz w:val="24"/>
          <w:szCs w:val="24"/>
        </w:rPr>
        <w:t xml:space="preserve"> in measures of compactness</w:t>
      </w:r>
      <w:r>
        <w:rPr>
          <w:rFonts w:ascii="Times New Roman" w:eastAsia="Times New Roman" w:hAnsi="Times New Roman" w:cs="Times New Roman"/>
          <w:iCs/>
          <w:sz w:val="24"/>
          <w:szCs w:val="24"/>
        </w:rPr>
        <w:t>. Looking first to Roeck</w:t>
      </w:r>
      <w:r w:rsidR="00B0432A">
        <w:rPr>
          <w:rFonts w:ascii="Times New Roman" w:eastAsia="Times New Roman" w:hAnsi="Times New Roman" w:cs="Times New Roman"/>
          <w:iCs/>
          <w:sz w:val="24"/>
          <w:szCs w:val="24"/>
        </w:rPr>
        <w:t xml:space="preserve"> compactness</w:t>
      </w:r>
      <w:r w:rsidR="00A60001">
        <w:rPr>
          <w:rFonts w:ascii="Times New Roman" w:eastAsia="Times New Roman" w:hAnsi="Times New Roman" w:cs="Times New Roman"/>
          <w:iCs/>
          <w:sz w:val="24"/>
          <w:szCs w:val="24"/>
        </w:rPr>
        <w:t>, the average score for this proposed plan is 0.40, while the average score for the enacted plan is 0.44. This difference is not hugely significant, but a loss of 0.04 nonetheless. For the Polsby-Popper score, this proposed plan averages at 0.26, while the enacted plan averages at 0.29. Again, the difference is small, but plans should generally try to improve on their predecessors where possible. Despite this apparent loss in compactness, this proposed plan is still viable. One reason for the loss in average</w:t>
      </w:r>
      <w:r w:rsidR="00FE2118">
        <w:rPr>
          <w:rFonts w:ascii="Times New Roman" w:eastAsia="Times New Roman" w:hAnsi="Times New Roman" w:cs="Times New Roman"/>
          <w:iCs/>
          <w:sz w:val="24"/>
          <w:szCs w:val="24"/>
        </w:rPr>
        <w:t xml:space="preserve">s in both Roeck and Polsby-Popper was the reduced geographic size of District 2. Recall that in the 2011 plan, District 2 (previously District 3) extended from the southern border all the way to Phoenix. In this plan, much of that northern region has been removed from District 2, and the district now takes a much narrower shape, reducing its compactness score. However, this approach was taken </w:t>
      </w:r>
      <w:r w:rsidR="00FE2118">
        <w:rPr>
          <w:rFonts w:ascii="Times New Roman" w:eastAsia="Times New Roman" w:hAnsi="Times New Roman" w:cs="Times New Roman"/>
          <w:iCs/>
          <w:sz w:val="24"/>
          <w:szCs w:val="24"/>
        </w:rPr>
        <w:lastRenderedPageBreak/>
        <w:t xml:space="preserve">for reasons discussed </w:t>
      </w:r>
      <w:r w:rsidR="00FE2118">
        <w:rPr>
          <w:rFonts w:ascii="Times New Roman" w:eastAsia="Times New Roman" w:hAnsi="Times New Roman" w:cs="Times New Roman"/>
          <w:i/>
          <w:sz w:val="24"/>
          <w:szCs w:val="24"/>
        </w:rPr>
        <w:t>supra</w:t>
      </w:r>
      <w:r w:rsidR="00FE2118">
        <w:rPr>
          <w:rFonts w:ascii="Times New Roman" w:eastAsia="Times New Roman" w:hAnsi="Times New Roman" w:cs="Times New Roman"/>
          <w:iCs/>
          <w:sz w:val="24"/>
          <w:szCs w:val="24"/>
        </w:rPr>
        <w:t>. Broadly speaking, compactness is not a priority measure. While it may be satisfying to draw districts that are visually appealing, it is much more important to draw districts that</w:t>
      </w:r>
      <w:r w:rsidR="00CB1870">
        <w:rPr>
          <w:rFonts w:ascii="Times New Roman" w:eastAsia="Times New Roman" w:hAnsi="Times New Roman" w:cs="Times New Roman"/>
          <w:iCs/>
          <w:sz w:val="24"/>
          <w:szCs w:val="24"/>
        </w:rPr>
        <w:t xml:space="preserve"> </w:t>
      </w:r>
      <w:r w:rsidR="00FE2118">
        <w:rPr>
          <w:rFonts w:ascii="Times New Roman" w:eastAsia="Times New Roman" w:hAnsi="Times New Roman" w:cs="Times New Roman"/>
          <w:iCs/>
          <w:sz w:val="24"/>
          <w:szCs w:val="24"/>
        </w:rPr>
        <w:t xml:space="preserve">adequately represent </w:t>
      </w:r>
      <w:r w:rsidR="00CB1870">
        <w:rPr>
          <w:rFonts w:ascii="Times New Roman" w:eastAsia="Times New Roman" w:hAnsi="Times New Roman" w:cs="Times New Roman"/>
          <w:iCs/>
          <w:sz w:val="24"/>
          <w:szCs w:val="24"/>
        </w:rPr>
        <w:t xml:space="preserve">the </w:t>
      </w:r>
      <w:r w:rsidR="00FE2118">
        <w:rPr>
          <w:rFonts w:ascii="Times New Roman" w:eastAsia="Times New Roman" w:hAnsi="Times New Roman" w:cs="Times New Roman"/>
          <w:iCs/>
          <w:sz w:val="24"/>
          <w:szCs w:val="24"/>
        </w:rPr>
        <w:t>communities</w:t>
      </w:r>
      <w:r w:rsidR="00CB1870">
        <w:rPr>
          <w:rFonts w:ascii="Times New Roman" w:eastAsia="Times New Roman" w:hAnsi="Times New Roman" w:cs="Times New Roman"/>
          <w:iCs/>
          <w:sz w:val="24"/>
          <w:szCs w:val="24"/>
        </w:rPr>
        <w:t xml:space="preserve"> </w:t>
      </w:r>
      <w:r w:rsidR="007F751A">
        <w:rPr>
          <w:rFonts w:ascii="Times New Roman" w:eastAsia="Times New Roman" w:hAnsi="Times New Roman" w:cs="Times New Roman"/>
          <w:iCs/>
          <w:sz w:val="24"/>
          <w:szCs w:val="24"/>
        </w:rPr>
        <w:t xml:space="preserve">of interest </w:t>
      </w:r>
      <w:r w:rsidR="00CB1870">
        <w:rPr>
          <w:rFonts w:ascii="Times New Roman" w:eastAsia="Times New Roman" w:hAnsi="Times New Roman" w:cs="Times New Roman"/>
          <w:iCs/>
          <w:sz w:val="24"/>
          <w:szCs w:val="24"/>
        </w:rPr>
        <w:t>that reside within their borders.</w:t>
      </w:r>
      <w:r w:rsidR="007F751A">
        <w:rPr>
          <w:rFonts w:ascii="Times New Roman" w:eastAsia="Times New Roman" w:hAnsi="Times New Roman" w:cs="Times New Roman"/>
          <w:iCs/>
          <w:sz w:val="24"/>
          <w:szCs w:val="24"/>
        </w:rPr>
        <w:t xml:space="preserve"> </w:t>
      </w:r>
      <w:bookmarkEnd w:id="7"/>
    </w:p>
    <w:p w14:paraId="1D939140" w14:textId="1C33FE87" w:rsidR="0081090A" w:rsidRDefault="003C1DDC">
      <w:pPr>
        <w:numPr>
          <w:ilvl w:val="2"/>
          <w:numId w:val="3"/>
        </w:numPr>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Political Competitiveness</w:t>
      </w:r>
    </w:p>
    <w:p w14:paraId="0357619D" w14:textId="5BDB043A" w:rsidR="0023295E" w:rsidRDefault="003721DB" w:rsidP="00C41B8D">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Arizona constitution asks that, to the extent practicable, competitive districts be favored where doing so would not significantly detract from other goals.</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These goals ask that districts are contiguous, are geographically compact, respect communities of interest, use visible geographic features, respect city, town, and county boundaries, and respect undivided census tracts to the extent practicable.</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w:t>
      </w:r>
      <w:r w:rsidR="0023295E">
        <w:rPr>
          <w:rFonts w:ascii="Times New Roman" w:eastAsia="Times New Roman" w:hAnsi="Times New Roman" w:cs="Times New Roman"/>
          <w:sz w:val="24"/>
          <w:szCs w:val="24"/>
        </w:rPr>
        <w:t xml:space="preserve">This plan does not strictly comply with this competitiveness metric for two reasons: first, when the plan was originally created, partisan data was not yet available. This meant that only a rough idea of partisanship based on the 2016 and 2018 elections was available. Second, and more substantially, the other goals of the plan took priority over competitiveness. </w:t>
      </w:r>
      <w:r w:rsidR="00A544E0">
        <w:rPr>
          <w:rFonts w:ascii="Times New Roman" w:eastAsia="Times New Roman" w:hAnsi="Times New Roman" w:cs="Times New Roman"/>
          <w:sz w:val="24"/>
          <w:szCs w:val="24"/>
        </w:rPr>
        <w:t xml:space="preserve">It is important to note that the state constitution asks to favor competitive districts </w:t>
      </w:r>
      <w:r w:rsidR="00A544E0">
        <w:rPr>
          <w:rFonts w:ascii="Times New Roman" w:eastAsia="Times New Roman" w:hAnsi="Times New Roman" w:cs="Times New Roman"/>
          <w:i/>
          <w:iCs/>
          <w:sz w:val="24"/>
          <w:szCs w:val="24"/>
        </w:rPr>
        <w:t>to the extent possible</w:t>
      </w:r>
      <w:r w:rsidR="00A544E0">
        <w:rPr>
          <w:rFonts w:ascii="Times New Roman" w:eastAsia="Times New Roman" w:hAnsi="Times New Roman" w:cs="Times New Roman"/>
          <w:sz w:val="24"/>
          <w:szCs w:val="24"/>
        </w:rPr>
        <w:t xml:space="preserve"> when it would </w:t>
      </w:r>
      <w:r w:rsidR="00A544E0">
        <w:rPr>
          <w:rFonts w:ascii="Times New Roman" w:eastAsia="Times New Roman" w:hAnsi="Times New Roman" w:cs="Times New Roman"/>
          <w:i/>
          <w:iCs/>
          <w:sz w:val="24"/>
          <w:szCs w:val="24"/>
        </w:rPr>
        <w:t>not significantly detract from other goals</w:t>
      </w:r>
      <w:r w:rsidR="00A544E0">
        <w:rPr>
          <w:rFonts w:ascii="Times New Roman" w:eastAsia="Times New Roman" w:hAnsi="Times New Roman" w:cs="Times New Roman"/>
          <w:sz w:val="24"/>
          <w:szCs w:val="24"/>
        </w:rPr>
        <w:t>.</w:t>
      </w:r>
      <w:r w:rsidR="00C367F0">
        <w:rPr>
          <w:rStyle w:val="FootnoteReference"/>
          <w:rFonts w:ascii="Times New Roman" w:eastAsia="Times New Roman" w:hAnsi="Times New Roman" w:cs="Times New Roman"/>
          <w:sz w:val="24"/>
          <w:szCs w:val="24"/>
        </w:rPr>
        <w:footnoteReference w:id="38"/>
      </w:r>
      <w:r w:rsidR="00A544E0">
        <w:rPr>
          <w:rFonts w:ascii="Times New Roman" w:eastAsia="Times New Roman" w:hAnsi="Times New Roman" w:cs="Times New Roman"/>
          <w:sz w:val="24"/>
          <w:szCs w:val="24"/>
        </w:rPr>
        <w:t xml:space="preserve"> Not only would </w:t>
      </w:r>
      <w:r w:rsidR="003C1DDC">
        <w:rPr>
          <w:rFonts w:ascii="Times New Roman" w:eastAsia="Times New Roman" w:hAnsi="Times New Roman" w:cs="Times New Roman"/>
          <w:sz w:val="24"/>
          <w:szCs w:val="24"/>
        </w:rPr>
        <w:t>redrawing the map at this point be impracticable</w:t>
      </w:r>
      <w:r w:rsidR="00A544E0">
        <w:rPr>
          <w:rFonts w:ascii="Times New Roman" w:eastAsia="Times New Roman" w:hAnsi="Times New Roman" w:cs="Times New Roman"/>
          <w:sz w:val="24"/>
          <w:szCs w:val="24"/>
        </w:rPr>
        <w:t xml:space="preserve"> – doing so would significantly detract from this plan’s other goals. This plan focuses on keeping </w:t>
      </w:r>
      <w:r w:rsidR="00A71141">
        <w:rPr>
          <w:rFonts w:ascii="Times New Roman" w:eastAsia="Times New Roman" w:hAnsi="Times New Roman" w:cs="Times New Roman"/>
          <w:sz w:val="24"/>
          <w:szCs w:val="24"/>
        </w:rPr>
        <w:t xml:space="preserve">communities together and reducing subdivision splits. </w:t>
      </w:r>
      <w:r w:rsidR="0023295E">
        <w:rPr>
          <w:rFonts w:ascii="Times New Roman" w:eastAsia="Times New Roman" w:hAnsi="Times New Roman" w:cs="Times New Roman"/>
          <w:sz w:val="24"/>
          <w:szCs w:val="24"/>
        </w:rPr>
        <w:t xml:space="preserve">Perhaps </w:t>
      </w:r>
      <w:r w:rsidR="00A71141">
        <w:rPr>
          <w:rFonts w:ascii="Times New Roman" w:eastAsia="Times New Roman" w:hAnsi="Times New Roman" w:cs="Times New Roman"/>
          <w:sz w:val="24"/>
          <w:szCs w:val="24"/>
        </w:rPr>
        <w:t xml:space="preserve">this plan’s </w:t>
      </w:r>
      <w:r w:rsidR="0023295E">
        <w:rPr>
          <w:rFonts w:ascii="Times New Roman" w:eastAsia="Times New Roman" w:hAnsi="Times New Roman" w:cs="Times New Roman"/>
          <w:sz w:val="24"/>
          <w:szCs w:val="24"/>
        </w:rPr>
        <w:t xml:space="preserve">best example of this </w:t>
      </w:r>
      <w:r w:rsidR="00A71141">
        <w:rPr>
          <w:rFonts w:ascii="Times New Roman" w:eastAsia="Times New Roman" w:hAnsi="Times New Roman" w:cs="Times New Roman"/>
          <w:sz w:val="24"/>
          <w:szCs w:val="24"/>
        </w:rPr>
        <w:t xml:space="preserve">trade-off can be seen below, in </w:t>
      </w:r>
      <w:r w:rsidR="0023295E">
        <w:rPr>
          <w:rFonts w:ascii="Times New Roman" w:eastAsia="Times New Roman" w:hAnsi="Times New Roman" w:cs="Times New Roman"/>
          <w:sz w:val="24"/>
          <w:szCs w:val="24"/>
        </w:rPr>
        <w:t xml:space="preserve">District </w:t>
      </w:r>
      <w:r w:rsidR="007E110F">
        <w:rPr>
          <w:rFonts w:ascii="Times New Roman" w:eastAsia="Times New Roman" w:hAnsi="Times New Roman" w:cs="Times New Roman"/>
          <w:sz w:val="24"/>
          <w:szCs w:val="24"/>
        </w:rPr>
        <w:t>8</w:t>
      </w:r>
      <w:r w:rsidR="0023295E">
        <w:rPr>
          <w:rFonts w:ascii="Times New Roman" w:eastAsia="Times New Roman" w:hAnsi="Times New Roman" w:cs="Times New Roman"/>
          <w:sz w:val="24"/>
          <w:szCs w:val="24"/>
        </w:rPr>
        <w:t>:</w:t>
      </w:r>
    </w:p>
    <w:p w14:paraId="58F85EDA" w14:textId="54B0EE0F" w:rsidR="005C1F04" w:rsidRDefault="007E110F" w:rsidP="0023295E">
      <w:pPr>
        <w:shd w:val="clear" w:color="auto" w:fill="FFFFFF"/>
        <w:spacing w:line="48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56704" behindDoc="0" locked="0" layoutInCell="1" allowOverlap="1" wp14:anchorId="528C62D0" wp14:editId="2977BE0D">
            <wp:simplePos x="0" y="0"/>
            <wp:positionH relativeFrom="margin">
              <wp:align>center</wp:align>
            </wp:positionH>
            <wp:positionV relativeFrom="paragraph">
              <wp:posOffset>0</wp:posOffset>
            </wp:positionV>
            <wp:extent cx="6477000" cy="4091305"/>
            <wp:effectExtent l="0" t="0" r="0" b="4445"/>
            <wp:wrapSquare wrapText="bothSides"/>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77000" cy="4091305"/>
                    </a:xfrm>
                    <a:prstGeom prst="rect">
                      <a:avLst/>
                    </a:prstGeom>
                  </pic:spPr>
                </pic:pic>
              </a:graphicData>
            </a:graphic>
            <wp14:sizeRelH relativeFrom="margin">
              <wp14:pctWidth>0</wp14:pctWidth>
            </wp14:sizeRelH>
            <wp14:sizeRelV relativeFrom="margin">
              <wp14:pctHeight>0</wp14:pctHeight>
            </wp14:sizeRelV>
          </wp:anchor>
        </w:drawing>
      </w:r>
    </w:p>
    <w:p w14:paraId="36094485" w14:textId="10B5CBB7" w:rsidR="0023295E" w:rsidRDefault="0023295E" w:rsidP="005C1F04">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District </w:t>
      </w:r>
      <w:r w:rsidR="007E110F">
        <w:rPr>
          <w:rFonts w:ascii="Times New Roman" w:eastAsia="Times New Roman" w:hAnsi="Times New Roman" w:cs="Times New Roman"/>
          <w:sz w:val="24"/>
          <w:szCs w:val="24"/>
        </w:rPr>
        <w:t>8</w:t>
      </w:r>
      <w:r w:rsidR="00A71141">
        <w:rPr>
          <w:rFonts w:ascii="Times New Roman" w:eastAsia="Times New Roman" w:hAnsi="Times New Roman" w:cs="Times New Roman"/>
          <w:sz w:val="24"/>
          <w:szCs w:val="24"/>
        </w:rPr>
        <w:t xml:space="preserve"> </w:t>
      </w:r>
      <w:r w:rsidR="005C1F04">
        <w:rPr>
          <w:rFonts w:ascii="Times New Roman" w:eastAsia="Times New Roman" w:hAnsi="Times New Roman" w:cs="Times New Roman"/>
          <w:sz w:val="24"/>
          <w:szCs w:val="24"/>
        </w:rPr>
        <w:t xml:space="preserve">does not meet the competitiveness metric that is asked of it by the state constitution. Based on the 2020 election, the Democratic population of District </w:t>
      </w:r>
      <w:r w:rsidR="007E110F">
        <w:rPr>
          <w:rFonts w:ascii="Times New Roman" w:eastAsia="Times New Roman" w:hAnsi="Times New Roman" w:cs="Times New Roman"/>
          <w:sz w:val="24"/>
          <w:szCs w:val="24"/>
        </w:rPr>
        <w:t>8</w:t>
      </w:r>
      <w:r w:rsidR="005C1F04">
        <w:rPr>
          <w:rFonts w:ascii="Times New Roman" w:eastAsia="Times New Roman" w:hAnsi="Times New Roman" w:cs="Times New Roman"/>
          <w:sz w:val="24"/>
          <w:szCs w:val="24"/>
        </w:rPr>
        <w:t xml:space="preserve"> is </w:t>
      </w:r>
      <w:r w:rsidR="007E110F">
        <w:rPr>
          <w:rFonts w:ascii="Times New Roman" w:eastAsia="Times New Roman" w:hAnsi="Times New Roman" w:cs="Times New Roman"/>
          <w:sz w:val="24"/>
          <w:szCs w:val="24"/>
        </w:rPr>
        <w:t>a very safe 69.4</w:t>
      </w:r>
      <w:r w:rsidR="005C1F04">
        <w:rPr>
          <w:rFonts w:ascii="Times New Roman" w:eastAsia="Times New Roman" w:hAnsi="Times New Roman" w:cs="Times New Roman"/>
          <w:sz w:val="24"/>
          <w:szCs w:val="24"/>
        </w:rPr>
        <w:t xml:space="preserve">%, and the Republican population is </w:t>
      </w:r>
      <w:r w:rsidR="007E110F">
        <w:rPr>
          <w:rFonts w:ascii="Times New Roman" w:eastAsia="Times New Roman" w:hAnsi="Times New Roman" w:cs="Times New Roman"/>
          <w:sz w:val="24"/>
          <w:szCs w:val="24"/>
        </w:rPr>
        <w:t>30.6</w:t>
      </w:r>
      <w:r w:rsidR="005C1F04">
        <w:rPr>
          <w:rFonts w:ascii="Times New Roman" w:eastAsia="Times New Roman" w:hAnsi="Times New Roman" w:cs="Times New Roman"/>
          <w:sz w:val="24"/>
          <w:szCs w:val="24"/>
        </w:rPr>
        <w:t xml:space="preserve">% This </w:t>
      </w:r>
      <w:r w:rsidR="007E110F">
        <w:rPr>
          <w:rFonts w:ascii="Times New Roman" w:eastAsia="Times New Roman" w:hAnsi="Times New Roman" w:cs="Times New Roman"/>
          <w:sz w:val="24"/>
          <w:szCs w:val="24"/>
        </w:rPr>
        <w:t>massive 38</w:t>
      </w:r>
      <w:r w:rsidR="005C1F04">
        <w:rPr>
          <w:rFonts w:ascii="Times New Roman" w:eastAsia="Times New Roman" w:hAnsi="Times New Roman" w:cs="Times New Roman"/>
          <w:sz w:val="24"/>
          <w:szCs w:val="24"/>
        </w:rPr>
        <w:t xml:space="preserve">.8% difference is not a negligible amount, nor is it easily overcome by the </w:t>
      </w:r>
      <w:r w:rsidR="007E110F">
        <w:rPr>
          <w:rFonts w:ascii="Times New Roman" w:eastAsia="Times New Roman" w:hAnsi="Times New Roman" w:cs="Times New Roman"/>
          <w:sz w:val="24"/>
          <w:szCs w:val="24"/>
        </w:rPr>
        <w:t xml:space="preserve">Republicans </w:t>
      </w:r>
      <w:r w:rsidR="005C1F04">
        <w:rPr>
          <w:rFonts w:ascii="Times New Roman" w:eastAsia="Times New Roman" w:hAnsi="Times New Roman" w:cs="Times New Roman"/>
          <w:sz w:val="24"/>
          <w:szCs w:val="24"/>
        </w:rPr>
        <w:t xml:space="preserve">in the district. </w:t>
      </w:r>
      <w:r w:rsidR="007E110F">
        <w:rPr>
          <w:rFonts w:ascii="Times New Roman" w:eastAsia="Times New Roman" w:hAnsi="Times New Roman" w:cs="Times New Roman"/>
          <w:sz w:val="24"/>
          <w:szCs w:val="24"/>
        </w:rPr>
        <w:t>However,</w:t>
      </w:r>
      <w:r w:rsidR="00A71141">
        <w:rPr>
          <w:rFonts w:ascii="Times New Roman" w:eastAsia="Times New Roman" w:hAnsi="Times New Roman" w:cs="Times New Roman"/>
          <w:sz w:val="24"/>
          <w:szCs w:val="24"/>
        </w:rPr>
        <w:t xml:space="preserve"> </w:t>
      </w:r>
      <w:r w:rsidR="007C3AE2">
        <w:rPr>
          <w:rFonts w:ascii="Times New Roman" w:eastAsia="Times New Roman" w:hAnsi="Times New Roman" w:cs="Times New Roman"/>
          <w:sz w:val="24"/>
          <w:szCs w:val="24"/>
        </w:rPr>
        <w:t xml:space="preserve">the state constitution does not </w:t>
      </w:r>
      <w:r w:rsidR="007C3AE2">
        <w:rPr>
          <w:rFonts w:ascii="Times New Roman" w:eastAsia="Times New Roman" w:hAnsi="Times New Roman" w:cs="Times New Roman"/>
          <w:i/>
          <w:iCs/>
          <w:sz w:val="24"/>
          <w:szCs w:val="24"/>
        </w:rPr>
        <w:t>require</w:t>
      </w:r>
      <w:r w:rsidR="007C3AE2">
        <w:rPr>
          <w:rFonts w:ascii="Times New Roman" w:eastAsia="Times New Roman" w:hAnsi="Times New Roman" w:cs="Times New Roman"/>
          <w:sz w:val="24"/>
          <w:szCs w:val="24"/>
        </w:rPr>
        <w:t xml:space="preserve"> this district be competitive.</w:t>
      </w:r>
      <w:r w:rsidR="007E110F">
        <w:rPr>
          <w:rFonts w:ascii="Times New Roman" w:eastAsia="Times New Roman" w:hAnsi="Times New Roman" w:cs="Times New Roman"/>
          <w:sz w:val="24"/>
          <w:szCs w:val="24"/>
        </w:rPr>
        <w:t xml:space="preserve"> District 8 was drawn this way </w:t>
      </w:r>
      <w:r w:rsidR="007C3AE2">
        <w:rPr>
          <w:rFonts w:ascii="Times New Roman" w:eastAsia="Times New Roman" w:hAnsi="Times New Roman" w:cs="Times New Roman"/>
          <w:sz w:val="24"/>
          <w:szCs w:val="24"/>
        </w:rPr>
        <w:t xml:space="preserve">to prioritize other factors, namely </w:t>
      </w:r>
      <w:r w:rsidR="007E110F">
        <w:rPr>
          <w:rFonts w:ascii="Times New Roman" w:eastAsia="Times New Roman" w:hAnsi="Times New Roman" w:cs="Times New Roman"/>
          <w:sz w:val="24"/>
          <w:szCs w:val="24"/>
        </w:rPr>
        <w:t>in order to satisfy the Voting Rights Act</w:t>
      </w:r>
      <w:r w:rsidR="00C41B8D">
        <w:rPr>
          <w:rFonts w:ascii="Times New Roman" w:eastAsia="Times New Roman" w:hAnsi="Times New Roman" w:cs="Times New Roman"/>
          <w:sz w:val="24"/>
          <w:szCs w:val="24"/>
        </w:rPr>
        <w:t xml:space="preserve"> and maintain the Hispanic majority that is currently enjoyed by the district (District 9 in the current enacted plan).</w:t>
      </w:r>
    </w:p>
    <w:p w14:paraId="0CD4FA69" w14:textId="23C915C9" w:rsidR="0011675F" w:rsidRDefault="003721DB">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14:paraId="20F7E9BF" w14:textId="3F8FDF90" w:rsidR="0081090A" w:rsidRDefault="007C3AE2" w:rsidP="003125DF">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this plan was to </w:t>
      </w:r>
      <w:r w:rsidRPr="007C3AE2">
        <w:rPr>
          <w:rFonts w:ascii="Times New Roman" w:eastAsia="Times New Roman" w:hAnsi="Times New Roman" w:cs="Times New Roman"/>
          <w:sz w:val="24"/>
          <w:szCs w:val="24"/>
        </w:rPr>
        <w:t>keep</w:t>
      </w:r>
      <w:r>
        <w:rPr>
          <w:rFonts w:ascii="Times New Roman" w:eastAsia="Times New Roman" w:hAnsi="Times New Roman" w:cs="Times New Roman"/>
          <w:sz w:val="24"/>
          <w:szCs w:val="24"/>
        </w:rPr>
        <w:t xml:space="preserve"> </w:t>
      </w:r>
      <w:r w:rsidRPr="007C3AE2">
        <w:rPr>
          <w:rFonts w:ascii="Times New Roman" w:eastAsia="Times New Roman" w:hAnsi="Times New Roman" w:cs="Times New Roman"/>
          <w:sz w:val="24"/>
          <w:szCs w:val="24"/>
        </w:rPr>
        <w:t xml:space="preserve">communities together. </w:t>
      </w:r>
      <w:r w:rsidR="00BC6913">
        <w:rPr>
          <w:rFonts w:ascii="Times New Roman" w:eastAsia="Times New Roman" w:hAnsi="Times New Roman" w:cs="Times New Roman"/>
          <w:sz w:val="24"/>
          <w:szCs w:val="24"/>
        </w:rPr>
        <w:t xml:space="preserve">While it certainly had to make trade-offs – the shape of District 2, the splitting of the Tohono O'Odham Nation Reservation, and the dip in average compactness – these </w:t>
      </w:r>
      <w:r w:rsidR="00990365">
        <w:rPr>
          <w:rFonts w:ascii="Times New Roman" w:eastAsia="Times New Roman" w:hAnsi="Times New Roman" w:cs="Times New Roman"/>
          <w:sz w:val="24"/>
          <w:szCs w:val="24"/>
        </w:rPr>
        <w:t xml:space="preserve">elements were sacrificed in favor of </w:t>
      </w:r>
      <w:r w:rsidR="00EE6E09">
        <w:rPr>
          <w:rFonts w:ascii="Times New Roman" w:eastAsia="Times New Roman" w:hAnsi="Times New Roman" w:cs="Times New Roman"/>
          <w:sz w:val="24"/>
          <w:szCs w:val="24"/>
        </w:rPr>
        <w:t>greater</w:t>
      </w:r>
      <w:r w:rsidR="00990365">
        <w:rPr>
          <w:rFonts w:ascii="Times New Roman" w:eastAsia="Times New Roman" w:hAnsi="Times New Roman" w:cs="Times New Roman"/>
          <w:sz w:val="24"/>
          <w:szCs w:val="24"/>
        </w:rPr>
        <w:t xml:space="preserve"> principles of </w:t>
      </w:r>
      <w:r w:rsidR="00990365">
        <w:rPr>
          <w:rFonts w:ascii="Times New Roman" w:eastAsia="Times New Roman" w:hAnsi="Times New Roman" w:cs="Times New Roman"/>
          <w:sz w:val="24"/>
          <w:szCs w:val="24"/>
        </w:rPr>
        <w:lastRenderedPageBreak/>
        <w:t>good governance. It aimed to split as few political subdivisions as possible, maintain the same number of Hispanic majority districts in the enacted 2011 plan, and achieve strictly equal population across all districts.</w:t>
      </w:r>
    </w:p>
    <w:sectPr w:rsidR="0081090A">
      <w:footerReference w:type="default" r:id="rId1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EDE98" w14:textId="77777777" w:rsidR="002C5548" w:rsidRDefault="002C5548">
      <w:pPr>
        <w:spacing w:line="240" w:lineRule="auto"/>
      </w:pPr>
      <w:r>
        <w:separator/>
      </w:r>
    </w:p>
  </w:endnote>
  <w:endnote w:type="continuationSeparator" w:id="0">
    <w:p w14:paraId="1877734B" w14:textId="77777777" w:rsidR="002C5548" w:rsidRDefault="002C55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D229" w14:textId="77777777" w:rsidR="0081090A" w:rsidRDefault="003721D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5169FB">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CE575" w14:textId="77777777" w:rsidR="002C5548" w:rsidRDefault="002C5548">
      <w:pPr>
        <w:spacing w:line="240" w:lineRule="auto"/>
      </w:pPr>
      <w:r>
        <w:separator/>
      </w:r>
    </w:p>
  </w:footnote>
  <w:footnote w:type="continuationSeparator" w:id="0">
    <w:p w14:paraId="4E527543" w14:textId="77777777" w:rsidR="002C5548" w:rsidRDefault="002C5548">
      <w:pPr>
        <w:spacing w:line="240" w:lineRule="auto"/>
      </w:pPr>
      <w:r>
        <w:continuationSeparator/>
      </w:r>
    </w:p>
  </w:footnote>
  <w:footnote w:id="1">
    <w:p w14:paraId="3F2B067F" w14:textId="21E05DAD" w:rsidR="00F76E3C" w:rsidRPr="00C367F0" w:rsidRDefault="00F76E3C">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eastAsia="Times New Roman" w:hAnsi="Times New Roman" w:cs="Times New Roman"/>
        </w:rPr>
        <w:t xml:space="preserve">Justin Levitt, </w:t>
      </w:r>
      <w:r w:rsidRPr="00C367F0">
        <w:rPr>
          <w:rFonts w:ascii="Times New Roman" w:eastAsia="Times New Roman" w:hAnsi="Times New Roman" w:cs="Times New Roman"/>
          <w:i/>
        </w:rPr>
        <w:t>All About Redistricting</w:t>
      </w:r>
      <w:r w:rsidRPr="00C367F0">
        <w:rPr>
          <w:rFonts w:ascii="Times New Roman" w:eastAsia="Times New Roman" w:hAnsi="Times New Roman" w:cs="Times New Roman"/>
        </w:rPr>
        <w:t xml:space="preserve">, </w:t>
      </w:r>
      <w:r w:rsidRPr="00C367F0">
        <w:rPr>
          <w:rFonts w:ascii="Times New Roman" w:eastAsia="Times New Roman" w:hAnsi="Times New Roman" w:cs="Times New Roman"/>
          <w:smallCaps/>
        </w:rPr>
        <w:t>Loyola L. School</w:t>
      </w:r>
      <w:r w:rsidRPr="00C367F0">
        <w:rPr>
          <w:rFonts w:ascii="Times New Roman" w:eastAsia="Times New Roman" w:hAnsi="Times New Roman" w:cs="Times New Roman"/>
        </w:rPr>
        <w:t xml:space="preserve">, </w:t>
      </w:r>
      <w:hyperlink r:id="rId1">
        <w:r w:rsidRPr="00C367F0">
          <w:rPr>
            <w:rFonts w:ascii="Times New Roman" w:eastAsia="Times New Roman" w:hAnsi="Times New Roman" w:cs="Times New Roman"/>
            <w:color w:val="1155CC"/>
            <w:u w:val="single"/>
          </w:rPr>
          <w:t>https://redistricting.lls.edu/state/arizona/?cycle=2010&amp;level=Congress&amp;startdate=2012-04-09</w:t>
        </w:r>
      </w:hyperlink>
      <w:r w:rsidRPr="00C367F0">
        <w:rPr>
          <w:rFonts w:ascii="Times New Roman" w:eastAsia="Times New Roman" w:hAnsi="Times New Roman" w:cs="Times New Roman"/>
        </w:rPr>
        <w:t xml:space="preserve"> (last visited Nov. 16, 2021).</w:t>
      </w:r>
    </w:p>
  </w:footnote>
  <w:footnote w:id="2">
    <w:p w14:paraId="4B0FFBDE" w14:textId="7EBBD63A" w:rsidR="00612639" w:rsidRPr="00C367F0" w:rsidRDefault="00612639" w:rsidP="00612639">
      <w:pPr>
        <w:spacing w:line="240" w:lineRule="auto"/>
        <w:rPr>
          <w:rFonts w:ascii="Times New Roman" w:eastAsia="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eastAsia="Times New Roman" w:hAnsi="Times New Roman" w:cs="Times New Roman"/>
          <w:sz w:val="20"/>
          <w:szCs w:val="20"/>
        </w:rPr>
        <w:t xml:space="preserve"> </w:t>
      </w:r>
      <w:r w:rsidR="00F76E3C" w:rsidRPr="00C367F0">
        <w:rPr>
          <w:rFonts w:ascii="Times New Roman" w:eastAsia="Times New Roman" w:hAnsi="Times New Roman" w:cs="Times New Roman"/>
          <w:i/>
          <w:iCs/>
          <w:sz w:val="20"/>
          <w:szCs w:val="20"/>
        </w:rPr>
        <w:t>Id.</w:t>
      </w:r>
    </w:p>
  </w:footnote>
  <w:footnote w:id="3">
    <w:p w14:paraId="3F3E465F" w14:textId="77777777" w:rsidR="00612639" w:rsidRPr="00C367F0" w:rsidRDefault="00612639" w:rsidP="00612639">
      <w:pPr>
        <w:autoSpaceDE w:val="0"/>
        <w:autoSpaceDN w:val="0"/>
        <w:adjustRightInd w:val="0"/>
        <w:spacing w:line="240" w:lineRule="auto"/>
        <w:rPr>
          <w:rFonts w:ascii="Times New Roman" w:hAnsi="Times New Roman" w:cs="Times New Roman"/>
          <w:i/>
          <w:iCs/>
          <w:color w:val="231F20"/>
          <w:sz w:val="20"/>
          <w:szCs w:val="20"/>
          <w:lang w:val="en-US"/>
        </w:rPr>
      </w:pPr>
      <w:r w:rsidRPr="00C367F0">
        <w:rPr>
          <w:rStyle w:val="FootnoteReference"/>
          <w:rFonts w:ascii="Times New Roman" w:hAnsi="Times New Roman" w:cs="Times New Roman"/>
          <w:sz w:val="20"/>
          <w:szCs w:val="20"/>
        </w:rPr>
        <w:footnoteRef/>
      </w:r>
      <w:r w:rsidRPr="00C367F0">
        <w:rPr>
          <w:rFonts w:ascii="Times New Roman" w:hAnsi="Times New Roman" w:cs="Times New Roman"/>
          <w:sz w:val="20"/>
          <w:szCs w:val="20"/>
        </w:rPr>
        <w:t xml:space="preserve"> </w:t>
      </w:r>
      <w:r w:rsidRPr="00C367F0">
        <w:rPr>
          <w:rFonts w:ascii="Times New Roman" w:hAnsi="Times New Roman" w:cs="Times New Roman"/>
          <w:color w:val="231F20"/>
          <w:sz w:val="20"/>
          <w:szCs w:val="20"/>
          <w:lang w:val="en-US"/>
        </w:rPr>
        <w:t>Arizona State Legislature v. Arizona Independent Redistricting Com’n, 135 S. Ct. 2652 (2015).</w:t>
      </w:r>
    </w:p>
  </w:footnote>
  <w:footnote w:id="4">
    <w:p w14:paraId="449DC8E3" w14:textId="77777777" w:rsidR="00612639" w:rsidRPr="00C367F0" w:rsidRDefault="00612639" w:rsidP="00612639">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hAnsi="Times New Roman" w:cs="Times New Roman"/>
          <w:i/>
          <w:iCs/>
        </w:rPr>
        <w:t xml:space="preserve">Power on the Line(s), Making Redistricting Work for Us </w:t>
      </w:r>
      <w:r w:rsidRPr="00C367F0">
        <w:rPr>
          <w:rFonts w:ascii="Times New Roman" w:hAnsi="Times New Roman" w:cs="Times New Roman"/>
        </w:rPr>
        <w:t xml:space="preserve">48, </w:t>
      </w:r>
      <w:r w:rsidRPr="00C367F0">
        <w:rPr>
          <w:rFonts w:ascii="Times New Roman" w:hAnsi="Times New Roman" w:cs="Times New Roman"/>
          <w:smallCaps/>
        </w:rPr>
        <w:t>NAACP Legal Defense and Educational Fund, inc. (2021)</w:t>
      </w:r>
      <w:r w:rsidRPr="00C367F0">
        <w:rPr>
          <w:rFonts w:ascii="Times New Roman" w:hAnsi="Times New Roman" w:cs="Times New Roman"/>
        </w:rPr>
        <w:t xml:space="preserve">, </w:t>
      </w:r>
      <w:hyperlink r:id="rId2" w:history="1">
        <w:r w:rsidRPr="00C367F0">
          <w:rPr>
            <w:rStyle w:val="Hyperlink"/>
            <w:rFonts w:ascii="Times New Roman" w:hAnsi="Times New Roman" w:cs="Times New Roman"/>
          </w:rPr>
          <w:t>https://www.maldef.org/wp-content/uploads/2021/05/FINAL-LDF_04142021_RedistrictingGuide-22e.pdf</w:t>
        </w:r>
      </w:hyperlink>
      <w:r w:rsidRPr="00C367F0">
        <w:rPr>
          <w:rFonts w:ascii="Times New Roman" w:hAnsi="Times New Roman" w:cs="Times New Roman"/>
        </w:rPr>
        <w:t xml:space="preserve"> (last visited Jan. 2, 2022).</w:t>
      </w:r>
    </w:p>
  </w:footnote>
  <w:footnote w:id="5">
    <w:p w14:paraId="05F35D50" w14:textId="77777777" w:rsidR="0081090A" w:rsidRPr="00C367F0" w:rsidRDefault="003721DB">
      <w:pPr>
        <w:spacing w:line="240" w:lineRule="auto"/>
        <w:rPr>
          <w:rFonts w:ascii="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w:t>
      </w:r>
      <w:r w:rsidRPr="00C367F0">
        <w:rPr>
          <w:rFonts w:ascii="Times New Roman" w:hAnsi="Times New Roman" w:cs="Times New Roman"/>
          <w:i/>
          <w:sz w:val="20"/>
          <w:szCs w:val="20"/>
        </w:rPr>
        <w:t>Id.</w:t>
      </w:r>
    </w:p>
  </w:footnote>
  <w:footnote w:id="6">
    <w:p w14:paraId="644F6BAD" w14:textId="5A62D1ED" w:rsidR="0081090A" w:rsidRPr="00C367F0" w:rsidRDefault="003721DB">
      <w:pPr>
        <w:spacing w:line="240" w:lineRule="auto"/>
        <w:rPr>
          <w:rFonts w:ascii="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w:t>
      </w:r>
      <w:r w:rsidR="005169FB" w:rsidRPr="00C367F0">
        <w:rPr>
          <w:rFonts w:ascii="Times New Roman" w:eastAsia="Times New Roman" w:hAnsi="Times New Roman" w:cs="Times New Roman"/>
          <w:smallCaps/>
          <w:sz w:val="20"/>
          <w:szCs w:val="20"/>
        </w:rPr>
        <w:t>Ariz. Const.</w:t>
      </w:r>
      <w:r w:rsidRPr="00C367F0">
        <w:rPr>
          <w:rFonts w:ascii="Times New Roman" w:eastAsia="Times New Roman" w:hAnsi="Times New Roman" w:cs="Times New Roman"/>
          <w:sz w:val="20"/>
          <w:szCs w:val="20"/>
        </w:rPr>
        <w:t xml:space="preserve"> art. IV, pt. 2, § 1(3)-(8)</w:t>
      </w:r>
      <w:r w:rsidR="004321C3" w:rsidRPr="00C367F0">
        <w:rPr>
          <w:rFonts w:ascii="Times New Roman" w:eastAsia="Times New Roman" w:hAnsi="Times New Roman" w:cs="Times New Roman"/>
          <w:sz w:val="20"/>
          <w:szCs w:val="20"/>
        </w:rPr>
        <w:t>.</w:t>
      </w:r>
    </w:p>
  </w:footnote>
  <w:footnote w:id="7">
    <w:p w14:paraId="1B3F8139" w14:textId="77777777" w:rsidR="00CD68B5" w:rsidRPr="00C367F0" w:rsidRDefault="00CD68B5" w:rsidP="00CD68B5">
      <w:pPr>
        <w:spacing w:line="240" w:lineRule="auto"/>
        <w:rPr>
          <w:rFonts w:ascii="Times New Roman" w:eastAsia="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eastAsia="Times New Roman" w:hAnsi="Times New Roman" w:cs="Times New Roman"/>
          <w:sz w:val="20"/>
          <w:szCs w:val="20"/>
        </w:rPr>
        <w:t xml:space="preserve"> Wesberry v. Sanders, 376 U.S. 1, 7-8 (1964) (“We hold that, construed in its historical context, the command of Art. I, § 2, that Representatives be chosen ‘by the People of the several States’ means that as nearly as is practicable one man's vote in a congressional election is to be worth as much as another’s.”). </w:t>
      </w:r>
    </w:p>
  </w:footnote>
  <w:footnote w:id="8">
    <w:p w14:paraId="6D8E5B57" w14:textId="77777777" w:rsidR="00A369EF" w:rsidRPr="00C367F0" w:rsidRDefault="00A369EF" w:rsidP="00A369EF">
      <w:pPr>
        <w:spacing w:line="240" w:lineRule="auto"/>
        <w:rPr>
          <w:rFonts w:ascii="Times New Roman" w:eastAsia="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eastAsia="Times New Roman" w:hAnsi="Times New Roman" w:cs="Times New Roman"/>
          <w:sz w:val="20"/>
          <w:szCs w:val="20"/>
        </w:rPr>
        <w:t xml:space="preserve"> Karcher v. Daggett, 462 U.S. 725, 734 (1983). (“We thus reaffirm that there are no de minimis population variations, which could practicably be avoided, but which nonetheless meet the standards of Art. I, §2, without justification.”). </w:t>
      </w:r>
    </w:p>
  </w:footnote>
  <w:footnote w:id="9">
    <w:p w14:paraId="095309AD" w14:textId="77777777" w:rsidR="00A369EF" w:rsidRPr="00C367F0" w:rsidRDefault="00A369EF" w:rsidP="00A369EF">
      <w:pPr>
        <w:spacing w:line="240" w:lineRule="auto"/>
        <w:rPr>
          <w:rFonts w:ascii="Times New Roman" w:hAnsi="Times New Roman" w:cs="Times New Roman"/>
          <w:i/>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w:t>
      </w:r>
      <w:r w:rsidRPr="00C367F0">
        <w:rPr>
          <w:rFonts w:ascii="Times New Roman" w:hAnsi="Times New Roman" w:cs="Times New Roman"/>
          <w:i/>
          <w:sz w:val="20"/>
          <w:szCs w:val="20"/>
        </w:rPr>
        <w:t>Population Clock</w:t>
      </w:r>
      <w:r w:rsidRPr="00C367F0">
        <w:rPr>
          <w:rFonts w:ascii="Times New Roman" w:hAnsi="Times New Roman" w:cs="Times New Roman"/>
          <w:sz w:val="20"/>
          <w:szCs w:val="20"/>
        </w:rPr>
        <w:t>,</w:t>
      </w:r>
      <w:r w:rsidRPr="00C367F0">
        <w:rPr>
          <w:rFonts w:ascii="Times New Roman" w:hAnsi="Times New Roman" w:cs="Times New Roman"/>
          <w:i/>
          <w:sz w:val="20"/>
          <w:szCs w:val="20"/>
        </w:rPr>
        <w:t xml:space="preserve"> </w:t>
      </w:r>
      <w:r w:rsidRPr="00C367F0">
        <w:rPr>
          <w:rFonts w:ascii="Times New Roman" w:hAnsi="Times New Roman" w:cs="Times New Roman"/>
          <w:smallCaps/>
          <w:sz w:val="20"/>
          <w:szCs w:val="20"/>
        </w:rPr>
        <w:t>United States Census Bureau</w:t>
      </w:r>
      <w:r w:rsidRPr="00C367F0">
        <w:rPr>
          <w:rFonts w:ascii="Times New Roman" w:hAnsi="Times New Roman" w:cs="Times New Roman"/>
          <w:sz w:val="20"/>
          <w:szCs w:val="20"/>
        </w:rPr>
        <w:t>, https://www.census.gov/popclock/ (last visited Nov. 17, 2021).</w:t>
      </w:r>
    </w:p>
  </w:footnote>
  <w:footnote w:id="10">
    <w:p w14:paraId="66EDE2AE" w14:textId="77777777" w:rsidR="005B0CC5" w:rsidRPr="00C367F0" w:rsidRDefault="005B0CC5" w:rsidP="005B0CC5">
      <w:pPr>
        <w:spacing w:line="240" w:lineRule="auto"/>
        <w:rPr>
          <w:rFonts w:ascii="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w:t>
      </w:r>
      <w:r w:rsidRPr="00C367F0">
        <w:rPr>
          <w:rFonts w:ascii="Times New Roman" w:eastAsia="Times New Roman" w:hAnsi="Times New Roman" w:cs="Times New Roman"/>
          <w:i/>
          <w:iCs/>
          <w:sz w:val="20"/>
          <w:szCs w:val="20"/>
        </w:rPr>
        <w:t>Id.</w:t>
      </w:r>
      <w:r w:rsidRPr="00C367F0">
        <w:rPr>
          <w:rFonts w:ascii="Times New Roman" w:eastAsia="Times New Roman" w:hAnsi="Times New Roman" w:cs="Times New Roman"/>
          <w:sz w:val="20"/>
          <w:szCs w:val="20"/>
        </w:rPr>
        <w:t xml:space="preserve"> § 1(14)(B).</w:t>
      </w:r>
    </w:p>
  </w:footnote>
  <w:footnote w:id="11">
    <w:p w14:paraId="7496818D" w14:textId="149D9B76" w:rsidR="00A369EF" w:rsidRPr="00C367F0" w:rsidRDefault="00A369EF">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007D7C23" w:rsidRPr="00C367F0">
        <w:rPr>
          <w:rFonts w:ascii="Times New Roman" w:eastAsia="Times New Roman" w:hAnsi="Times New Roman" w:cs="Times New Roman"/>
          <w:smallCaps/>
        </w:rPr>
        <w:t>Ariz. Const.</w:t>
      </w:r>
      <w:r w:rsidR="007D7C23" w:rsidRPr="00C367F0">
        <w:rPr>
          <w:rFonts w:ascii="Times New Roman" w:eastAsia="Times New Roman" w:hAnsi="Times New Roman" w:cs="Times New Roman"/>
        </w:rPr>
        <w:t xml:space="preserve"> art. IV, pt. 2, § 1(14); Ariz. Minority Coal. for Fair Redistricting v. Ariz. Ind. Redistricting Comm’n, 121 P.3d 843 (Ariz. Ct. App. 2005).</w:t>
      </w:r>
    </w:p>
  </w:footnote>
  <w:footnote w:id="12">
    <w:p w14:paraId="74095673" w14:textId="4F1132F5" w:rsidR="0081090A" w:rsidRPr="00C367F0" w:rsidRDefault="003721DB">
      <w:pPr>
        <w:spacing w:line="240" w:lineRule="auto"/>
        <w:rPr>
          <w:rFonts w:ascii="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w:t>
      </w:r>
      <w:r w:rsidR="007D7C23" w:rsidRPr="00C367F0">
        <w:rPr>
          <w:rFonts w:ascii="Times New Roman" w:eastAsia="Times New Roman" w:hAnsi="Times New Roman" w:cs="Times New Roman"/>
          <w:i/>
          <w:iCs/>
          <w:sz w:val="20"/>
          <w:szCs w:val="20"/>
        </w:rPr>
        <w:t>Id.</w:t>
      </w:r>
    </w:p>
  </w:footnote>
  <w:footnote w:id="13">
    <w:p w14:paraId="254675C9" w14:textId="622A57ED" w:rsidR="0081090A" w:rsidRPr="00C367F0" w:rsidRDefault="003721DB">
      <w:pPr>
        <w:spacing w:line="240" w:lineRule="auto"/>
        <w:rPr>
          <w:rFonts w:ascii="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w:t>
      </w:r>
      <w:r w:rsidR="005169FB" w:rsidRPr="00C367F0">
        <w:rPr>
          <w:rFonts w:ascii="Times New Roman" w:eastAsia="Times New Roman" w:hAnsi="Times New Roman" w:cs="Times New Roman"/>
          <w:smallCaps/>
          <w:sz w:val="20"/>
          <w:szCs w:val="20"/>
        </w:rPr>
        <w:t>Ariz. Const.</w:t>
      </w:r>
      <w:r w:rsidRPr="00C367F0">
        <w:rPr>
          <w:rFonts w:ascii="Times New Roman" w:eastAsia="Times New Roman" w:hAnsi="Times New Roman" w:cs="Times New Roman"/>
          <w:sz w:val="20"/>
          <w:szCs w:val="20"/>
        </w:rPr>
        <w:t xml:space="preserve"> art. IV, pt. 2, § 1(14)</w:t>
      </w:r>
      <w:r w:rsidR="004321C3" w:rsidRPr="00C367F0">
        <w:rPr>
          <w:rFonts w:ascii="Times New Roman" w:eastAsia="Times New Roman" w:hAnsi="Times New Roman" w:cs="Times New Roman"/>
          <w:sz w:val="20"/>
          <w:szCs w:val="20"/>
        </w:rPr>
        <w:t>.</w:t>
      </w:r>
    </w:p>
  </w:footnote>
  <w:footnote w:id="14">
    <w:p w14:paraId="1B216B2D" w14:textId="0D7C0288" w:rsidR="0081090A" w:rsidRPr="00C367F0" w:rsidRDefault="003721DB">
      <w:pPr>
        <w:spacing w:line="240" w:lineRule="auto"/>
        <w:rPr>
          <w:rFonts w:ascii="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w:t>
      </w:r>
      <w:r w:rsidR="005169FB" w:rsidRPr="00C367F0">
        <w:rPr>
          <w:rFonts w:ascii="Times New Roman" w:eastAsia="Times New Roman" w:hAnsi="Times New Roman" w:cs="Times New Roman"/>
          <w:smallCaps/>
          <w:sz w:val="20"/>
          <w:szCs w:val="20"/>
        </w:rPr>
        <w:t>Ariz. Const.</w:t>
      </w:r>
      <w:r w:rsidRPr="00C367F0">
        <w:rPr>
          <w:rFonts w:ascii="Times New Roman" w:eastAsia="Times New Roman" w:hAnsi="Times New Roman" w:cs="Times New Roman"/>
          <w:sz w:val="20"/>
          <w:szCs w:val="20"/>
        </w:rPr>
        <w:t xml:space="preserve"> art. IV, pt. 2, § 1(14); Ariz. Minority Coal. for Fair Redistricting v. Ariz. Ind. Redistricting Comm’n, 208 P.3d 676 (Ariz. 2009)</w:t>
      </w:r>
      <w:r w:rsidR="004321C3" w:rsidRPr="00C367F0">
        <w:rPr>
          <w:rFonts w:ascii="Times New Roman" w:eastAsia="Times New Roman" w:hAnsi="Times New Roman" w:cs="Times New Roman"/>
          <w:sz w:val="20"/>
          <w:szCs w:val="20"/>
        </w:rPr>
        <w:t>.</w:t>
      </w:r>
    </w:p>
  </w:footnote>
  <w:footnote w:id="15">
    <w:p w14:paraId="112A49B6" w14:textId="7C8510B9" w:rsidR="00A77701" w:rsidRPr="00C367F0" w:rsidRDefault="00A77701" w:rsidP="00A77701">
      <w:pPr>
        <w:pStyle w:val="FootnoteText"/>
        <w:rPr>
          <w:rFonts w:ascii="Times New Roman" w:hAnsi="Times New Roman" w:cs="Times New Roman"/>
        </w:rPr>
      </w:pPr>
      <w:r w:rsidRPr="00C367F0">
        <w:rPr>
          <w:rStyle w:val="FootnoteReference"/>
          <w:rFonts w:ascii="Times New Roman" w:hAnsi="Times New Roman" w:cs="Times New Roman"/>
        </w:rPr>
        <w:footnoteRef/>
      </w:r>
      <w:r w:rsidRPr="00C367F0">
        <w:rPr>
          <w:rFonts w:ascii="Times New Roman" w:hAnsi="Times New Roman" w:cs="Times New Roman"/>
        </w:rPr>
        <w:t xml:space="preserve"> Section 2 of the Voting Rights Act states that “No voting qualification or prerequisite to voting … shall be imposed by any State or political subdivision to deny or abridge the right of any citizen of the United States to vote on account of race or color, or [status as a member of a language minority group].” 52 U.S.C. § 10301(a).</w:t>
      </w:r>
    </w:p>
  </w:footnote>
  <w:footnote w:id="16">
    <w:p w14:paraId="138A2FD5" w14:textId="14CBAD19" w:rsidR="0077686C" w:rsidRPr="00C367F0" w:rsidRDefault="0077686C">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hAnsi="Times New Roman" w:cs="Times New Roman"/>
          <w:i/>
          <w:iCs/>
        </w:rPr>
        <w:t xml:space="preserve">Power on the Line(s), Making Redistricting Work for Us </w:t>
      </w:r>
      <w:r w:rsidRPr="00C367F0">
        <w:rPr>
          <w:rFonts w:ascii="Times New Roman" w:hAnsi="Times New Roman" w:cs="Times New Roman"/>
        </w:rPr>
        <w:t xml:space="preserve">35, </w:t>
      </w:r>
      <w:r w:rsidRPr="00C367F0">
        <w:rPr>
          <w:rFonts w:ascii="Times New Roman" w:hAnsi="Times New Roman" w:cs="Times New Roman"/>
          <w:smallCaps/>
        </w:rPr>
        <w:t>NAACP Legal Defense and Educational Fund, inc. (2021)</w:t>
      </w:r>
      <w:r w:rsidRPr="00C367F0">
        <w:rPr>
          <w:rFonts w:ascii="Times New Roman" w:hAnsi="Times New Roman" w:cs="Times New Roman"/>
        </w:rPr>
        <w:t xml:space="preserve">, </w:t>
      </w:r>
      <w:hyperlink r:id="rId3" w:history="1">
        <w:r w:rsidRPr="00C367F0">
          <w:rPr>
            <w:rStyle w:val="Hyperlink"/>
            <w:rFonts w:ascii="Times New Roman" w:hAnsi="Times New Roman" w:cs="Times New Roman"/>
          </w:rPr>
          <w:t>https://www.maldef.org/wp-content/uploads/2021/05/FINAL-LDF_04142021_RedistrictingGuide-22e.pdf</w:t>
        </w:r>
      </w:hyperlink>
      <w:r w:rsidRPr="00C367F0">
        <w:rPr>
          <w:rFonts w:ascii="Times New Roman" w:hAnsi="Times New Roman" w:cs="Times New Roman"/>
        </w:rPr>
        <w:t xml:space="preserve"> (last visited Jan. 2, 2022).</w:t>
      </w:r>
    </w:p>
  </w:footnote>
  <w:footnote w:id="17">
    <w:p w14:paraId="13D75952" w14:textId="77777777" w:rsidR="00B060EB" w:rsidRPr="00C367F0" w:rsidRDefault="00B060EB" w:rsidP="00B060EB">
      <w:pPr>
        <w:spacing w:line="240" w:lineRule="auto"/>
        <w:rPr>
          <w:rFonts w:ascii="Times New Roman" w:eastAsia="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eastAsia="Times New Roman" w:hAnsi="Times New Roman" w:cs="Times New Roman"/>
          <w:sz w:val="20"/>
          <w:szCs w:val="20"/>
        </w:rPr>
        <w:t xml:space="preserve"> Thornburg v. Gingles, 478 U.S. 30 (1986).</w:t>
      </w:r>
    </w:p>
  </w:footnote>
  <w:footnote w:id="18">
    <w:p w14:paraId="2505BEAA" w14:textId="77777777" w:rsidR="00EF4727" w:rsidRPr="00C367F0" w:rsidRDefault="00EF4727" w:rsidP="00EF4727">
      <w:pPr>
        <w:spacing w:line="240" w:lineRule="auto"/>
        <w:rPr>
          <w:rFonts w:ascii="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Tennant v. Jefferson County Com'n, 567 U.S. 758, 764 (2012).</w:t>
      </w:r>
    </w:p>
  </w:footnote>
  <w:footnote w:id="19">
    <w:p w14:paraId="6A489D7C" w14:textId="538D407F" w:rsidR="00634681" w:rsidRPr="00C367F0" w:rsidRDefault="00634681">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00E36142" w:rsidRPr="00C367F0">
        <w:rPr>
          <w:rFonts w:ascii="Times New Roman" w:hAnsi="Times New Roman" w:cs="Times New Roman"/>
          <w:i/>
          <w:iCs/>
        </w:rPr>
        <w:t>Arizona 2020 Congressional Districts</w:t>
      </w:r>
      <w:r w:rsidR="00E36142" w:rsidRPr="00C367F0">
        <w:rPr>
          <w:rFonts w:ascii="Times New Roman" w:hAnsi="Times New Roman" w:cs="Times New Roman"/>
        </w:rPr>
        <w:t>,</w:t>
      </w:r>
      <w:r w:rsidR="00E36142" w:rsidRPr="00C367F0">
        <w:rPr>
          <w:rFonts w:ascii="Times New Roman" w:hAnsi="Times New Roman" w:cs="Times New Roman"/>
          <w:i/>
          <w:iCs/>
        </w:rPr>
        <w:t xml:space="preserve"> </w:t>
      </w:r>
      <w:r w:rsidRPr="00C367F0">
        <w:rPr>
          <w:rFonts w:ascii="Times New Roman" w:hAnsi="Times New Roman" w:cs="Times New Roman"/>
          <w:smallCaps/>
          <w:lang w:val="en-US"/>
        </w:rPr>
        <w:t>Dave’s Redistricting</w:t>
      </w:r>
      <w:r w:rsidRPr="00C367F0">
        <w:rPr>
          <w:rFonts w:ascii="Times New Roman" w:hAnsi="Times New Roman" w:cs="Times New Roman"/>
          <w:lang w:val="en-US"/>
        </w:rPr>
        <w:t xml:space="preserve">, </w:t>
      </w:r>
      <w:hyperlink r:id="rId4" w:anchor="stats::283ef00f-9b80-4547-984f-74c25f554eef" w:history="1">
        <w:r w:rsidR="00E36142" w:rsidRPr="00C367F0">
          <w:rPr>
            <w:rStyle w:val="Hyperlink"/>
            <w:rFonts w:ascii="Times New Roman" w:hAnsi="Times New Roman" w:cs="Times New Roman"/>
            <w:lang w:val="en-US"/>
          </w:rPr>
          <w:t>https://davesredistricting.org/maps#stats::283ef00f-9b80-4547-984f-74c25f554eef</w:t>
        </w:r>
      </w:hyperlink>
      <w:r w:rsidR="00E36142" w:rsidRPr="00C367F0">
        <w:rPr>
          <w:rFonts w:ascii="Times New Roman" w:hAnsi="Times New Roman" w:cs="Times New Roman"/>
          <w:lang w:val="en-US"/>
        </w:rPr>
        <w:t xml:space="preserve"> (last visited Nov. 17, 2021)</w:t>
      </w:r>
      <w:r w:rsidRPr="00C367F0">
        <w:rPr>
          <w:rFonts w:ascii="Times New Roman" w:hAnsi="Times New Roman" w:cs="Times New Roman"/>
          <w:lang w:val="en-US"/>
        </w:rPr>
        <w:t>.</w:t>
      </w:r>
    </w:p>
  </w:footnote>
  <w:footnote w:id="20">
    <w:p w14:paraId="32E9A494" w14:textId="52A77F99" w:rsidR="00E93066" w:rsidRPr="00C367F0" w:rsidRDefault="00E93066">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hAnsi="Times New Roman" w:cs="Times New Roman"/>
          <w:i/>
          <w:iCs/>
        </w:rPr>
        <w:t>State of Arizona Official Canvass, 2020 General Election – Nov. 3, 2020</w:t>
      </w:r>
      <w:r w:rsidRPr="00C367F0">
        <w:rPr>
          <w:rFonts w:ascii="Times New Roman" w:hAnsi="Times New Roman" w:cs="Times New Roman"/>
        </w:rPr>
        <w:t xml:space="preserve">, </w:t>
      </w:r>
      <w:r w:rsidRPr="00C367F0">
        <w:rPr>
          <w:rFonts w:ascii="Times New Roman" w:hAnsi="Times New Roman" w:cs="Times New Roman"/>
          <w:smallCaps/>
        </w:rPr>
        <w:t xml:space="preserve">Ariz. Secretary of State, </w:t>
      </w:r>
      <w:hyperlink r:id="rId5" w:history="1">
        <w:r w:rsidRPr="00C367F0">
          <w:rPr>
            <w:rStyle w:val="Hyperlink"/>
            <w:rFonts w:ascii="Times New Roman" w:hAnsi="Times New Roman" w:cs="Times New Roman"/>
          </w:rPr>
          <w:t>https://azsos.gov/sites/default/files/2020_General_State_Canvass.pdf</w:t>
        </w:r>
      </w:hyperlink>
      <w:r w:rsidRPr="00C367F0">
        <w:rPr>
          <w:rFonts w:ascii="Times New Roman" w:hAnsi="Times New Roman" w:cs="Times New Roman"/>
        </w:rPr>
        <w:t xml:space="preserve"> (noting </w:t>
      </w:r>
      <w:r w:rsidR="008F133E" w:rsidRPr="00C367F0">
        <w:rPr>
          <w:rFonts w:ascii="Times New Roman" w:hAnsi="Times New Roman" w:cs="Times New Roman"/>
        </w:rPr>
        <w:t>32,010 votes for Joe Biden in Yuma, and 23,732 votes for Joe Biden in Cochise).</w:t>
      </w:r>
    </w:p>
  </w:footnote>
  <w:footnote w:id="21">
    <w:p w14:paraId="4BCEB31E" w14:textId="2BEEE0CB" w:rsidR="00221CAC" w:rsidRPr="00C367F0" w:rsidRDefault="00221CAC">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eastAsia="Times New Roman" w:hAnsi="Times New Roman" w:cs="Times New Roman"/>
        </w:rPr>
        <w:t>Shaw v. Reno, 509 U.S. 630 (1993).</w:t>
      </w:r>
    </w:p>
  </w:footnote>
  <w:footnote w:id="22">
    <w:p w14:paraId="39EB8383" w14:textId="3C305C3D" w:rsidR="00ED2A91" w:rsidRPr="00C367F0" w:rsidRDefault="00ED2A91" w:rsidP="00ED2A91">
      <w:pPr>
        <w:spacing w:line="240" w:lineRule="auto"/>
        <w:rPr>
          <w:rFonts w:ascii="Times New Roman" w:eastAsia="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eastAsia="Times New Roman" w:hAnsi="Times New Roman" w:cs="Times New Roman"/>
          <w:sz w:val="20"/>
          <w:szCs w:val="20"/>
        </w:rPr>
        <w:t xml:space="preserve"> 509 U.S. </w:t>
      </w:r>
      <w:r w:rsidR="00221CAC" w:rsidRPr="00C367F0">
        <w:rPr>
          <w:rFonts w:ascii="Times New Roman" w:eastAsia="Times New Roman" w:hAnsi="Times New Roman" w:cs="Times New Roman"/>
          <w:sz w:val="20"/>
          <w:szCs w:val="20"/>
        </w:rPr>
        <w:t xml:space="preserve">at </w:t>
      </w:r>
      <w:r w:rsidRPr="00C367F0">
        <w:rPr>
          <w:rFonts w:ascii="Times New Roman" w:eastAsia="Times New Roman" w:hAnsi="Times New Roman" w:cs="Times New Roman"/>
          <w:sz w:val="20"/>
          <w:szCs w:val="20"/>
        </w:rPr>
        <w:t>64</w:t>
      </w:r>
      <w:r w:rsidR="00221CAC" w:rsidRPr="00C367F0">
        <w:rPr>
          <w:rFonts w:ascii="Times New Roman" w:eastAsia="Times New Roman" w:hAnsi="Times New Roman" w:cs="Times New Roman"/>
          <w:sz w:val="20"/>
          <w:szCs w:val="20"/>
        </w:rPr>
        <w:t>2</w:t>
      </w:r>
      <w:r w:rsidRPr="00C367F0">
        <w:rPr>
          <w:rFonts w:ascii="Times New Roman" w:eastAsia="Times New Roman" w:hAnsi="Times New Roman" w:cs="Times New Roman"/>
          <w:sz w:val="20"/>
          <w:szCs w:val="20"/>
        </w:rPr>
        <w:t>.</w:t>
      </w:r>
    </w:p>
  </w:footnote>
  <w:footnote w:id="23">
    <w:p w14:paraId="0D77FEAF" w14:textId="77777777" w:rsidR="00BD2855" w:rsidRPr="00C367F0" w:rsidRDefault="00BD2855" w:rsidP="00BD2855">
      <w:pPr>
        <w:spacing w:line="240" w:lineRule="auto"/>
        <w:rPr>
          <w:rFonts w:ascii="Times New Roman" w:eastAsia="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eastAsia="Times New Roman" w:hAnsi="Times New Roman" w:cs="Times New Roman"/>
          <w:sz w:val="20"/>
          <w:szCs w:val="20"/>
        </w:rPr>
        <w:t xml:space="preserve"> Miller v. Johnson, 515 U.S. 900, 916 (1995) (“The plaintiff's burden is to show, either through circumstantial evidence of a district's shape and demographics or more direct evidence going to legislative purpose, that race was the predominant factor motivating the legislature's decision to place a significant number of voters within or without a particular district.”).</w:t>
      </w:r>
    </w:p>
  </w:footnote>
  <w:footnote w:id="24">
    <w:p w14:paraId="5973138E" w14:textId="289CB5EE" w:rsidR="00BD2855" w:rsidRPr="00C367F0" w:rsidRDefault="00BD2855">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hAnsi="Times New Roman" w:cs="Times New Roman"/>
          <w:i/>
          <w:iCs/>
          <w:lang w:val="en-US"/>
        </w:rPr>
        <w:t>Id.</w:t>
      </w:r>
    </w:p>
  </w:footnote>
  <w:footnote w:id="25">
    <w:p w14:paraId="5CAAB034" w14:textId="77777777" w:rsidR="00ED2A91" w:rsidRPr="00C367F0" w:rsidRDefault="00ED2A91" w:rsidP="00ED2A91">
      <w:pPr>
        <w:spacing w:line="240" w:lineRule="auto"/>
        <w:rPr>
          <w:rFonts w:ascii="Times New Roman" w:eastAsia="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eastAsia="Times New Roman" w:hAnsi="Times New Roman" w:cs="Times New Roman"/>
          <w:sz w:val="20"/>
          <w:szCs w:val="20"/>
        </w:rPr>
        <w:t xml:space="preserve"> </w:t>
      </w:r>
      <w:r w:rsidRPr="00C367F0">
        <w:rPr>
          <w:rFonts w:ascii="Times New Roman" w:eastAsia="Times New Roman" w:hAnsi="Times New Roman" w:cs="Times New Roman"/>
          <w:i/>
          <w:sz w:val="20"/>
          <w:szCs w:val="20"/>
        </w:rPr>
        <w:t xml:space="preserve">Id. </w:t>
      </w:r>
      <w:r w:rsidRPr="00C367F0">
        <w:rPr>
          <w:rFonts w:ascii="Times New Roman" w:eastAsia="Times New Roman" w:hAnsi="Times New Roman" w:cs="Times New Roman"/>
          <w:sz w:val="20"/>
          <w:szCs w:val="20"/>
        </w:rPr>
        <w:t>at 913.</w:t>
      </w:r>
    </w:p>
  </w:footnote>
  <w:footnote w:id="26">
    <w:p w14:paraId="1B36A405" w14:textId="77777777" w:rsidR="00ED2A91" w:rsidRPr="00C367F0" w:rsidRDefault="00ED2A91" w:rsidP="00ED2A91">
      <w:pPr>
        <w:spacing w:line="240" w:lineRule="auto"/>
        <w:rPr>
          <w:rFonts w:ascii="Times New Roman" w:eastAsia="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eastAsia="Times New Roman" w:hAnsi="Times New Roman" w:cs="Times New Roman"/>
          <w:sz w:val="20"/>
          <w:szCs w:val="20"/>
        </w:rPr>
        <w:t xml:space="preserve"> </w:t>
      </w:r>
      <w:r w:rsidRPr="00C367F0">
        <w:rPr>
          <w:rFonts w:ascii="Times New Roman" w:eastAsia="Times New Roman" w:hAnsi="Times New Roman" w:cs="Times New Roman"/>
          <w:i/>
          <w:sz w:val="20"/>
          <w:szCs w:val="20"/>
        </w:rPr>
        <w:t xml:space="preserve">Id. </w:t>
      </w:r>
      <w:r w:rsidRPr="00C367F0">
        <w:rPr>
          <w:rFonts w:ascii="Times New Roman" w:eastAsia="Times New Roman" w:hAnsi="Times New Roman" w:cs="Times New Roman"/>
          <w:sz w:val="20"/>
          <w:szCs w:val="20"/>
        </w:rPr>
        <w:t>at 916.</w:t>
      </w:r>
    </w:p>
  </w:footnote>
  <w:footnote w:id="27">
    <w:p w14:paraId="78628082" w14:textId="67F7BF68" w:rsidR="00ED2A91" w:rsidRPr="00C367F0" w:rsidRDefault="00ED2A91" w:rsidP="00ED2A91">
      <w:pPr>
        <w:spacing w:line="240" w:lineRule="auto"/>
        <w:rPr>
          <w:rFonts w:ascii="Times New Roman" w:eastAsia="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eastAsia="Times New Roman" w:hAnsi="Times New Roman" w:cs="Times New Roman"/>
          <w:sz w:val="20"/>
          <w:szCs w:val="20"/>
        </w:rPr>
        <w:t xml:space="preserve"> 42 U.S.C. §</w:t>
      </w:r>
      <w:r w:rsidR="00B367B4" w:rsidRPr="00C367F0">
        <w:rPr>
          <w:rFonts w:ascii="Times New Roman" w:eastAsia="Times New Roman" w:hAnsi="Times New Roman" w:cs="Times New Roman"/>
          <w:sz w:val="20"/>
          <w:szCs w:val="20"/>
        </w:rPr>
        <w:t xml:space="preserve"> </w:t>
      </w:r>
      <w:r w:rsidRPr="00C367F0">
        <w:rPr>
          <w:rFonts w:ascii="Times New Roman" w:eastAsia="Times New Roman" w:hAnsi="Times New Roman" w:cs="Times New Roman"/>
          <w:sz w:val="20"/>
          <w:szCs w:val="20"/>
        </w:rPr>
        <w:t>1973(b) (2011).</w:t>
      </w:r>
    </w:p>
  </w:footnote>
  <w:footnote w:id="28">
    <w:p w14:paraId="1CF23AD3" w14:textId="665B2C63" w:rsidR="00E1611C" w:rsidRPr="00C367F0" w:rsidRDefault="00E1611C">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Justin Levitt, </w:t>
      </w:r>
      <w:r w:rsidRPr="00C367F0">
        <w:rPr>
          <w:rFonts w:ascii="Times New Roman" w:hAnsi="Times New Roman" w:cs="Times New Roman"/>
          <w:i/>
          <w:iCs/>
        </w:rPr>
        <w:t>Professor Justin Levitt’s Guide to Drawing the Electoral Lines</w:t>
      </w:r>
      <w:r w:rsidRPr="00C367F0">
        <w:rPr>
          <w:rFonts w:ascii="Times New Roman" w:hAnsi="Times New Roman" w:cs="Times New Roman"/>
        </w:rPr>
        <w:t xml:space="preserve">, </w:t>
      </w:r>
      <w:r w:rsidRPr="00C367F0">
        <w:rPr>
          <w:rFonts w:ascii="Times New Roman" w:hAnsi="Times New Roman" w:cs="Times New Roman"/>
          <w:smallCaps/>
        </w:rPr>
        <w:t>Loyola L. School</w:t>
      </w:r>
      <w:r w:rsidRPr="00C367F0">
        <w:rPr>
          <w:rFonts w:ascii="Times New Roman" w:hAnsi="Times New Roman" w:cs="Times New Roman"/>
        </w:rPr>
        <w:t xml:space="preserve"> (2019), </w:t>
      </w:r>
      <w:hyperlink r:id="rId6" w:history="1">
        <w:r w:rsidRPr="00C367F0">
          <w:rPr>
            <w:rStyle w:val="Hyperlink"/>
            <w:rFonts w:ascii="Times New Roman" w:hAnsi="Times New Roman" w:cs="Times New Roman"/>
          </w:rPr>
          <w:t>http://redistricting.lls.edu/</w:t>
        </w:r>
      </w:hyperlink>
      <w:r w:rsidRPr="00C367F0">
        <w:rPr>
          <w:rFonts w:ascii="Times New Roman" w:hAnsi="Times New Roman" w:cs="Times New Roman"/>
        </w:rPr>
        <w:t>.</w:t>
      </w:r>
    </w:p>
  </w:footnote>
  <w:footnote w:id="29">
    <w:p w14:paraId="4E4BFDCE" w14:textId="69FDFC0E" w:rsidR="00E1611C" w:rsidRPr="00C367F0" w:rsidRDefault="00E1611C">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002E049D" w:rsidRPr="00C367F0">
        <w:rPr>
          <w:rFonts w:ascii="Times New Roman" w:hAnsi="Times New Roman" w:cs="Times New Roman"/>
          <w:i/>
          <w:iCs/>
        </w:rPr>
        <w:t>Id</w:t>
      </w:r>
      <w:r w:rsidRPr="00C367F0">
        <w:rPr>
          <w:rFonts w:ascii="Times New Roman" w:hAnsi="Times New Roman" w:cs="Times New Roman"/>
        </w:rPr>
        <w:t>.</w:t>
      </w:r>
    </w:p>
  </w:footnote>
  <w:footnote w:id="30">
    <w:p w14:paraId="4238FECD" w14:textId="3A96B30D" w:rsidR="00E1611C" w:rsidRPr="00C367F0" w:rsidRDefault="00E1611C">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hAnsi="Times New Roman" w:cs="Times New Roman"/>
          <w:i/>
          <w:iCs/>
        </w:rPr>
        <w:t xml:space="preserve">Power on the Line(s), Making Redistricting Work for Us </w:t>
      </w:r>
      <w:r w:rsidRPr="00C367F0">
        <w:rPr>
          <w:rFonts w:ascii="Times New Roman" w:hAnsi="Times New Roman" w:cs="Times New Roman"/>
        </w:rPr>
        <w:t xml:space="preserve">26, </w:t>
      </w:r>
      <w:r w:rsidRPr="00C367F0">
        <w:rPr>
          <w:rFonts w:ascii="Times New Roman" w:hAnsi="Times New Roman" w:cs="Times New Roman"/>
          <w:smallCaps/>
        </w:rPr>
        <w:t>NAACP Legal Defense and Educational Fund, inc. (2021)</w:t>
      </w:r>
      <w:r w:rsidRPr="00C367F0">
        <w:rPr>
          <w:rFonts w:ascii="Times New Roman" w:hAnsi="Times New Roman" w:cs="Times New Roman"/>
        </w:rPr>
        <w:t xml:space="preserve">, </w:t>
      </w:r>
      <w:hyperlink r:id="rId7" w:history="1">
        <w:r w:rsidRPr="00C367F0">
          <w:rPr>
            <w:rStyle w:val="Hyperlink"/>
            <w:rFonts w:ascii="Times New Roman" w:hAnsi="Times New Roman" w:cs="Times New Roman"/>
          </w:rPr>
          <w:t>https://www.maldef.org/wp-content/uploads/2021/05/FINAL-LDF_04142021_RedistrictingGuide-22e.pdf</w:t>
        </w:r>
      </w:hyperlink>
      <w:r w:rsidRPr="00C367F0">
        <w:rPr>
          <w:rFonts w:ascii="Times New Roman" w:hAnsi="Times New Roman" w:cs="Times New Roman"/>
        </w:rPr>
        <w:t xml:space="preserve"> (last visited Jan. 2, 2022).</w:t>
      </w:r>
    </w:p>
  </w:footnote>
  <w:footnote w:id="31">
    <w:p w14:paraId="58E075E7" w14:textId="23A98E93" w:rsidR="00E85B78" w:rsidRPr="00C367F0" w:rsidRDefault="00E85B78">
      <w:pPr>
        <w:pStyle w:val="FootnoteText"/>
        <w:rPr>
          <w:rFonts w:ascii="Times New Roman" w:hAnsi="Times New Roman" w:cs="Times New Roman"/>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00EA5B85" w:rsidRPr="00C367F0">
        <w:rPr>
          <w:rFonts w:ascii="Times New Roman" w:hAnsi="Times New Roman" w:cs="Times New Roman"/>
          <w:i/>
          <w:iCs/>
        </w:rPr>
        <w:t>QuickFacts, Phoenix city, Arizona</w:t>
      </w:r>
      <w:r w:rsidR="00EA5B85" w:rsidRPr="00C367F0">
        <w:rPr>
          <w:rFonts w:ascii="Times New Roman" w:hAnsi="Times New Roman" w:cs="Times New Roman"/>
        </w:rPr>
        <w:t xml:space="preserve">, </w:t>
      </w:r>
      <w:r w:rsidRPr="00C367F0">
        <w:rPr>
          <w:rFonts w:ascii="Times New Roman" w:hAnsi="Times New Roman" w:cs="Times New Roman"/>
          <w:smallCaps/>
        </w:rPr>
        <w:t xml:space="preserve">United States Census Bureau, </w:t>
      </w:r>
      <w:hyperlink r:id="rId8" w:history="1">
        <w:r w:rsidR="00AC0027" w:rsidRPr="00C367F0">
          <w:rPr>
            <w:rStyle w:val="Hyperlink"/>
            <w:rFonts w:ascii="Times New Roman" w:hAnsi="Times New Roman" w:cs="Times New Roman"/>
          </w:rPr>
          <w:t>https://www.census.gov/quickfacts/phoenixcityarizona</w:t>
        </w:r>
      </w:hyperlink>
      <w:r w:rsidRPr="00C367F0">
        <w:rPr>
          <w:rFonts w:ascii="Times New Roman" w:hAnsi="Times New Roman" w:cs="Times New Roman"/>
        </w:rPr>
        <w:t xml:space="preserve"> (last visited Dec. 30, 2021).</w:t>
      </w:r>
    </w:p>
  </w:footnote>
  <w:footnote w:id="32">
    <w:p w14:paraId="0181592B" w14:textId="49284194" w:rsidR="00C90F9E" w:rsidRPr="00C367F0" w:rsidRDefault="00F54FA9" w:rsidP="00C90F9E">
      <w:pPr>
        <w:pStyle w:val="FootnoteText"/>
        <w:rPr>
          <w:rFonts w:ascii="Times New Roman" w:hAnsi="Times New Roman" w:cs="Times New Roman"/>
          <w:i/>
          <w:iC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00C90F9E" w:rsidRPr="00C367F0">
        <w:rPr>
          <w:rFonts w:ascii="Times New Roman" w:hAnsi="Times New Roman" w:cs="Times New Roman"/>
        </w:rPr>
        <w:t>Levitt,</w:t>
      </w:r>
      <w:r w:rsidR="002E049D" w:rsidRPr="00C367F0">
        <w:rPr>
          <w:rFonts w:ascii="Times New Roman" w:hAnsi="Times New Roman" w:cs="Times New Roman"/>
          <w:i/>
          <w:iCs/>
        </w:rPr>
        <w:t xml:space="preserve"> supra </w:t>
      </w:r>
      <w:r w:rsidR="002E049D" w:rsidRPr="00C367F0">
        <w:rPr>
          <w:rFonts w:ascii="Times New Roman" w:hAnsi="Times New Roman" w:cs="Times New Roman"/>
        </w:rPr>
        <w:t xml:space="preserve">note </w:t>
      </w:r>
      <w:r w:rsidR="002E049D" w:rsidRPr="00C367F0">
        <w:rPr>
          <w:rFonts w:ascii="Times New Roman" w:hAnsi="Times New Roman" w:cs="Times New Roman"/>
        </w:rPr>
        <w:fldChar w:fldCharType="begin"/>
      </w:r>
      <w:r w:rsidR="002E049D" w:rsidRPr="00C367F0">
        <w:rPr>
          <w:rFonts w:ascii="Times New Roman" w:hAnsi="Times New Roman" w:cs="Times New Roman"/>
        </w:rPr>
        <w:instrText xml:space="preserve"> NOTEREF _Ref93162058 \h </w:instrText>
      </w:r>
      <w:r w:rsidR="00C367F0">
        <w:rPr>
          <w:rFonts w:ascii="Times New Roman" w:hAnsi="Times New Roman" w:cs="Times New Roman"/>
        </w:rPr>
        <w:instrText xml:space="preserve"> \* MERGEFORMAT </w:instrText>
      </w:r>
      <w:r w:rsidR="002E049D" w:rsidRPr="00C367F0">
        <w:rPr>
          <w:rFonts w:ascii="Times New Roman" w:hAnsi="Times New Roman" w:cs="Times New Roman"/>
        </w:rPr>
      </w:r>
      <w:r w:rsidR="002E049D" w:rsidRPr="00C367F0">
        <w:rPr>
          <w:rFonts w:ascii="Times New Roman" w:hAnsi="Times New Roman" w:cs="Times New Roman"/>
        </w:rPr>
        <w:fldChar w:fldCharType="separate"/>
      </w:r>
      <w:r w:rsidR="002E049D" w:rsidRPr="00C367F0">
        <w:rPr>
          <w:rFonts w:ascii="Times New Roman" w:hAnsi="Times New Roman" w:cs="Times New Roman"/>
        </w:rPr>
        <w:t>28</w:t>
      </w:r>
      <w:r w:rsidR="002E049D" w:rsidRPr="00C367F0">
        <w:rPr>
          <w:rFonts w:ascii="Times New Roman" w:hAnsi="Times New Roman" w:cs="Times New Roman"/>
        </w:rPr>
        <w:fldChar w:fldCharType="end"/>
      </w:r>
      <w:r w:rsidR="00C90F9E" w:rsidRPr="00C367F0">
        <w:rPr>
          <w:rFonts w:ascii="Times New Roman" w:hAnsi="Times New Roman" w:cs="Times New Roman"/>
        </w:rPr>
        <w:t>.</w:t>
      </w:r>
    </w:p>
  </w:footnote>
  <w:footnote w:id="33">
    <w:p w14:paraId="5C13AEC7" w14:textId="56B210BF" w:rsidR="00C90F9E" w:rsidRPr="00C367F0" w:rsidRDefault="00C90F9E">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hAnsi="Times New Roman" w:cs="Times New Roman"/>
          <w:i/>
          <w:iCs/>
        </w:rPr>
        <w:t xml:space="preserve">Power on the Line(s), Making Redistricting Work for Us </w:t>
      </w:r>
      <w:r w:rsidRPr="00C367F0">
        <w:rPr>
          <w:rFonts w:ascii="Times New Roman" w:hAnsi="Times New Roman" w:cs="Times New Roman"/>
        </w:rPr>
        <w:t xml:space="preserve">25, </w:t>
      </w:r>
      <w:r w:rsidRPr="00C367F0">
        <w:rPr>
          <w:rFonts w:ascii="Times New Roman" w:hAnsi="Times New Roman" w:cs="Times New Roman"/>
          <w:smallCaps/>
        </w:rPr>
        <w:t>NAACP Legal Defense and Educational Fund, inc. (2021)</w:t>
      </w:r>
      <w:r w:rsidRPr="00C367F0">
        <w:rPr>
          <w:rFonts w:ascii="Times New Roman" w:hAnsi="Times New Roman" w:cs="Times New Roman"/>
        </w:rPr>
        <w:t xml:space="preserve">, </w:t>
      </w:r>
      <w:hyperlink r:id="rId9" w:history="1">
        <w:r w:rsidRPr="00C367F0">
          <w:rPr>
            <w:rStyle w:val="Hyperlink"/>
            <w:rFonts w:ascii="Times New Roman" w:hAnsi="Times New Roman" w:cs="Times New Roman"/>
          </w:rPr>
          <w:t>https://www.maldef.org/wp-content/uploads/2021/05/FINAL-LDF_04142021_RedistrictingGuide-22e.pdf</w:t>
        </w:r>
      </w:hyperlink>
      <w:r w:rsidRPr="00C367F0">
        <w:rPr>
          <w:rFonts w:ascii="Times New Roman" w:hAnsi="Times New Roman" w:cs="Times New Roman"/>
        </w:rPr>
        <w:t xml:space="preserve"> (last visited Jan. 2, 2022).</w:t>
      </w:r>
    </w:p>
  </w:footnote>
  <w:footnote w:id="34">
    <w:p w14:paraId="0E2B4157" w14:textId="70B0BB0E" w:rsidR="00E1611C" w:rsidRPr="00C367F0" w:rsidRDefault="00E1611C">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002E049D" w:rsidRPr="00C367F0">
        <w:rPr>
          <w:rFonts w:ascii="Times New Roman" w:hAnsi="Times New Roman" w:cs="Times New Roman"/>
          <w:i/>
          <w:iCs/>
        </w:rPr>
        <w:t>Id</w:t>
      </w:r>
      <w:r w:rsidRPr="00C367F0">
        <w:rPr>
          <w:rFonts w:ascii="Times New Roman" w:hAnsi="Times New Roman" w:cs="Times New Roman"/>
        </w:rPr>
        <w:t>.</w:t>
      </w:r>
      <w:r w:rsidR="002E049D" w:rsidRPr="00C367F0">
        <w:rPr>
          <w:rFonts w:ascii="Times New Roman" w:hAnsi="Times New Roman" w:cs="Times New Roman"/>
        </w:rPr>
        <w:t xml:space="preserve"> at 26.</w:t>
      </w:r>
    </w:p>
  </w:footnote>
  <w:footnote w:id="35">
    <w:p w14:paraId="1D887CCA" w14:textId="484B8221" w:rsidR="00F23DF5" w:rsidRPr="00C367F0" w:rsidRDefault="00F23DF5">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hAnsi="Times New Roman" w:cs="Times New Roman"/>
          <w:lang w:val="en-US"/>
        </w:rPr>
        <w:t>Indeed, District 2 has a Roeck compactness score of 0.10.</w:t>
      </w:r>
    </w:p>
  </w:footnote>
  <w:footnote w:id="36">
    <w:p w14:paraId="6C1957F0" w14:textId="6979D04E" w:rsidR="0081090A" w:rsidRPr="00C367F0" w:rsidRDefault="003721DB">
      <w:pPr>
        <w:spacing w:line="240" w:lineRule="auto"/>
        <w:rPr>
          <w:rFonts w:ascii="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w:t>
      </w:r>
      <w:r w:rsidR="005169FB" w:rsidRPr="00C367F0">
        <w:rPr>
          <w:rFonts w:ascii="Times New Roman" w:eastAsia="Times New Roman" w:hAnsi="Times New Roman" w:cs="Times New Roman"/>
          <w:smallCaps/>
          <w:sz w:val="20"/>
          <w:szCs w:val="20"/>
        </w:rPr>
        <w:t>Ariz. Const</w:t>
      </w:r>
      <w:r w:rsidRPr="00C367F0">
        <w:rPr>
          <w:rFonts w:ascii="Times New Roman" w:eastAsia="Times New Roman" w:hAnsi="Times New Roman" w:cs="Times New Roman"/>
          <w:sz w:val="20"/>
          <w:szCs w:val="20"/>
        </w:rPr>
        <w:t>. art. IV, pt. 2, § 1(14); Ariz. Minority Coal. for Fair Redistricting v. Ariz. Ind. Redistricting Comm’n, 208 P.3d 676 (Ariz. 2009)</w:t>
      </w:r>
      <w:r w:rsidR="004321C3" w:rsidRPr="00C367F0">
        <w:rPr>
          <w:rFonts w:ascii="Times New Roman" w:eastAsia="Times New Roman" w:hAnsi="Times New Roman" w:cs="Times New Roman"/>
          <w:sz w:val="20"/>
          <w:szCs w:val="20"/>
        </w:rPr>
        <w:t>.</w:t>
      </w:r>
    </w:p>
  </w:footnote>
  <w:footnote w:id="37">
    <w:p w14:paraId="234F940A" w14:textId="10FBB2C3" w:rsidR="0081090A" w:rsidRPr="00C367F0" w:rsidRDefault="003721DB">
      <w:pPr>
        <w:spacing w:line="240" w:lineRule="auto"/>
        <w:rPr>
          <w:rFonts w:ascii="Times New Roman" w:hAnsi="Times New Roman" w:cs="Times New Roman"/>
          <w:sz w:val="20"/>
          <w:szCs w:val="20"/>
        </w:rPr>
      </w:pPr>
      <w:r w:rsidRPr="00C367F0">
        <w:rPr>
          <w:rFonts w:ascii="Times New Roman" w:hAnsi="Times New Roman" w:cs="Times New Roman"/>
          <w:sz w:val="20"/>
          <w:szCs w:val="20"/>
          <w:vertAlign w:val="superscript"/>
        </w:rPr>
        <w:footnoteRef/>
      </w:r>
      <w:r w:rsidRPr="00C367F0">
        <w:rPr>
          <w:rFonts w:ascii="Times New Roman" w:hAnsi="Times New Roman" w:cs="Times New Roman"/>
          <w:sz w:val="20"/>
          <w:szCs w:val="20"/>
        </w:rPr>
        <w:t xml:space="preserve"> </w:t>
      </w:r>
      <w:r w:rsidR="005169FB" w:rsidRPr="00C367F0">
        <w:rPr>
          <w:rFonts w:ascii="Times New Roman" w:eastAsia="Times New Roman" w:hAnsi="Times New Roman" w:cs="Times New Roman"/>
          <w:smallCaps/>
          <w:sz w:val="20"/>
          <w:szCs w:val="20"/>
        </w:rPr>
        <w:t>Ariz. Const</w:t>
      </w:r>
      <w:r w:rsidRPr="00C367F0">
        <w:rPr>
          <w:rFonts w:ascii="Times New Roman" w:eastAsia="Times New Roman" w:hAnsi="Times New Roman" w:cs="Times New Roman"/>
          <w:sz w:val="20"/>
          <w:szCs w:val="20"/>
        </w:rPr>
        <w:t>. art. IV, pt. 2, § 1(14); Ariz. Minority Coal. for Fair Redistricting v. Ariz. Ind. Redistricting Comm’n, 121 P.3d 843 (Ariz. Ct. App. 2005)</w:t>
      </w:r>
    </w:p>
  </w:footnote>
  <w:footnote w:id="38">
    <w:p w14:paraId="7C3DFDC8" w14:textId="08E9BD15" w:rsidR="00C367F0" w:rsidRPr="00C367F0" w:rsidRDefault="00C367F0">
      <w:pPr>
        <w:pStyle w:val="FootnoteText"/>
        <w:rPr>
          <w:rFonts w:ascii="Times New Roman" w:hAnsi="Times New Roman" w:cs="Times New Roman"/>
          <w:lang w:val="en-US"/>
        </w:rPr>
      </w:pPr>
      <w:r w:rsidRPr="00C367F0">
        <w:rPr>
          <w:rStyle w:val="FootnoteReference"/>
          <w:rFonts w:ascii="Times New Roman" w:hAnsi="Times New Roman" w:cs="Times New Roman"/>
        </w:rPr>
        <w:footnoteRef/>
      </w:r>
      <w:r w:rsidRPr="00C367F0">
        <w:rPr>
          <w:rFonts w:ascii="Times New Roman" w:hAnsi="Times New Roman" w:cs="Times New Roman"/>
        </w:rPr>
        <w:t xml:space="preserve"> </w:t>
      </w:r>
      <w:r w:rsidRPr="00C367F0">
        <w:rPr>
          <w:rFonts w:ascii="Times New Roman" w:eastAsia="Times New Roman" w:hAnsi="Times New Roman" w:cs="Times New Roman"/>
          <w:smallCaps/>
        </w:rPr>
        <w:t>Ariz. Const</w:t>
      </w:r>
      <w:r w:rsidRPr="00C367F0">
        <w:rPr>
          <w:rFonts w:ascii="Times New Roman" w:eastAsia="Times New Roman" w:hAnsi="Times New Roman" w:cs="Times New Roman"/>
        </w:rPr>
        <w:t>. art. IV, pt. 2, § 1(14); Ariz. Minority Coal. for Fair Redistricting v. Ariz. Ind. Redistricting Comm’n, 208 P.3d 676 (Ariz. 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4F46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7605C6"/>
    <w:multiLevelType w:val="multilevel"/>
    <w:tmpl w:val="5EA2FE6A"/>
    <w:lvl w:ilvl="0">
      <w:start w:val="1"/>
      <w:numFmt w:val="decimal"/>
      <w:lvlText w:val="%1."/>
      <w:lvlJc w:val="left"/>
      <w:pPr>
        <w:ind w:left="720" w:hanging="360"/>
      </w:pPr>
      <w:rPr>
        <w:rFonts w:ascii="Roboto" w:eastAsia="Roboto" w:hAnsi="Roboto" w:cs="Roboto"/>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6CE1207"/>
    <w:multiLevelType w:val="multilevel"/>
    <w:tmpl w:val="7EBC9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CD3355"/>
    <w:multiLevelType w:val="multilevel"/>
    <w:tmpl w:val="223A4C76"/>
    <w:lvl w:ilvl="0">
      <w:start w:val="1"/>
      <w:numFmt w:val="decimal"/>
      <w:lvlText w:val="%1."/>
      <w:lvlJc w:val="left"/>
      <w:pPr>
        <w:ind w:left="720" w:hanging="360"/>
      </w:pPr>
      <w:rPr>
        <w:rFonts w:ascii="Roboto" w:eastAsia="Roboto" w:hAnsi="Roboto" w:cs="Roboto"/>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5E33C88"/>
    <w:multiLevelType w:val="multilevel"/>
    <w:tmpl w:val="CFC8CFB6"/>
    <w:lvl w:ilvl="0">
      <w:start w:val="2"/>
      <w:numFmt w:val="decimal"/>
      <w:lvlText w:val="%1."/>
      <w:lvlJc w:val="left"/>
      <w:pPr>
        <w:ind w:left="720" w:hanging="360"/>
      </w:pPr>
      <w:rPr>
        <w:rFonts w:ascii="Roboto" w:eastAsia="Roboto" w:hAnsi="Roboto" w:cs="Roboto"/>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50238FB"/>
    <w:multiLevelType w:val="multilevel"/>
    <w:tmpl w:val="795A15DE"/>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EE3DC4"/>
    <w:multiLevelType w:val="multilevel"/>
    <w:tmpl w:val="9AE4B9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27C73A3"/>
    <w:multiLevelType w:val="multilevel"/>
    <w:tmpl w:val="08504172"/>
    <w:lvl w:ilvl="0">
      <w:start w:val="1"/>
      <w:numFmt w:val="bullet"/>
      <w:lvlText w:val="○"/>
      <w:lvlJc w:val="left"/>
      <w:pPr>
        <w:ind w:left="720" w:hanging="360"/>
      </w:pPr>
      <w:rPr>
        <w:rFonts w:ascii="Roboto" w:eastAsia="Roboto" w:hAnsi="Roboto" w:cs="Roboto"/>
        <w:sz w:val="23"/>
        <w:szCs w:val="23"/>
        <w:u w:val="none"/>
      </w:rPr>
    </w:lvl>
    <w:lvl w:ilvl="1">
      <w:start w:val="1"/>
      <w:numFmt w:val="decimal"/>
      <w:lvlText w:val="%2."/>
      <w:lvlJc w:val="left"/>
      <w:pPr>
        <w:ind w:left="1440" w:hanging="360"/>
      </w:pPr>
      <w:rPr>
        <w:rFonts w:ascii="Roboto" w:eastAsia="Roboto" w:hAnsi="Roboto" w:cs="Roboto"/>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9A7F6C"/>
    <w:multiLevelType w:val="multilevel"/>
    <w:tmpl w:val="283AB97A"/>
    <w:lvl w:ilvl="0">
      <w:start w:val="3"/>
      <w:numFmt w:val="decimal"/>
      <w:lvlText w:val="%1."/>
      <w:lvlJc w:val="left"/>
      <w:pPr>
        <w:ind w:left="720" w:hanging="360"/>
      </w:pPr>
      <w:rPr>
        <w:rFonts w:ascii="Roboto" w:eastAsia="Roboto" w:hAnsi="Roboto" w:cs="Roboto"/>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5"/>
  </w:num>
  <w:num w:numId="2">
    <w:abstractNumId w:val="3"/>
  </w:num>
  <w:num w:numId="3">
    <w:abstractNumId w:val="6"/>
  </w:num>
  <w:num w:numId="4">
    <w:abstractNumId w:val="4"/>
  </w:num>
  <w:num w:numId="5">
    <w:abstractNumId w:val="1"/>
  </w:num>
  <w:num w:numId="6">
    <w:abstractNumId w:val="7"/>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1090A"/>
    <w:rsid w:val="000522C6"/>
    <w:rsid w:val="000653B5"/>
    <w:rsid w:val="00070AF3"/>
    <w:rsid w:val="0009214F"/>
    <w:rsid w:val="000925D8"/>
    <w:rsid w:val="00092BD3"/>
    <w:rsid w:val="000B6B81"/>
    <w:rsid w:val="000B7353"/>
    <w:rsid w:val="000C0005"/>
    <w:rsid w:val="0011675F"/>
    <w:rsid w:val="00122570"/>
    <w:rsid w:val="00122A00"/>
    <w:rsid w:val="00137671"/>
    <w:rsid w:val="00150357"/>
    <w:rsid w:val="00153804"/>
    <w:rsid w:val="0015616C"/>
    <w:rsid w:val="00172189"/>
    <w:rsid w:val="00173FE2"/>
    <w:rsid w:val="00196DE6"/>
    <w:rsid w:val="001971F2"/>
    <w:rsid w:val="001A256D"/>
    <w:rsid w:val="001A310F"/>
    <w:rsid w:val="001A5982"/>
    <w:rsid w:val="001A7F19"/>
    <w:rsid w:val="001F70EB"/>
    <w:rsid w:val="00206C8E"/>
    <w:rsid w:val="0021608E"/>
    <w:rsid w:val="00221CAC"/>
    <w:rsid w:val="0023295E"/>
    <w:rsid w:val="00254115"/>
    <w:rsid w:val="00274556"/>
    <w:rsid w:val="00284218"/>
    <w:rsid w:val="002A5236"/>
    <w:rsid w:val="002C5548"/>
    <w:rsid w:val="002E049D"/>
    <w:rsid w:val="002E3028"/>
    <w:rsid w:val="002E3CCB"/>
    <w:rsid w:val="003009A0"/>
    <w:rsid w:val="003077BB"/>
    <w:rsid w:val="003125DF"/>
    <w:rsid w:val="00320DE9"/>
    <w:rsid w:val="00324308"/>
    <w:rsid w:val="00363D1B"/>
    <w:rsid w:val="00366585"/>
    <w:rsid w:val="003721DB"/>
    <w:rsid w:val="003865E4"/>
    <w:rsid w:val="00386E7F"/>
    <w:rsid w:val="00391ADB"/>
    <w:rsid w:val="003C1DDC"/>
    <w:rsid w:val="003E765F"/>
    <w:rsid w:val="00413DDB"/>
    <w:rsid w:val="004321C3"/>
    <w:rsid w:val="00466F24"/>
    <w:rsid w:val="00471B8A"/>
    <w:rsid w:val="0047603B"/>
    <w:rsid w:val="00497C48"/>
    <w:rsid w:val="004D1E7C"/>
    <w:rsid w:val="004F0554"/>
    <w:rsid w:val="004F5D16"/>
    <w:rsid w:val="005169FB"/>
    <w:rsid w:val="00521B22"/>
    <w:rsid w:val="0052483B"/>
    <w:rsid w:val="00535D50"/>
    <w:rsid w:val="00587C80"/>
    <w:rsid w:val="005A538C"/>
    <w:rsid w:val="005B0CC5"/>
    <w:rsid w:val="005C1F04"/>
    <w:rsid w:val="005E157C"/>
    <w:rsid w:val="00612639"/>
    <w:rsid w:val="00626734"/>
    <w:rsid w:val="0063392A"/>
    <w:rsid w:val="00634442"/>
    <w:rsid w:val="00634681"/>
    <w:rsid w:val="00643197"/>
    <w:rsid w:val="00663EA9"/>
    <w:rsid w:val="006B611A"/>
    <w:rsid w:val="006F5834"/>
    <w:rsid w:val="0070783F"/>
    <w:rsid w:val="007654AF"/>
    <w:rsid w:val="0077686C"/>
    <w:rsid w:val="00786733"/>
    <w:rsid w:val="007C3AE2"/>
    <w:rsid w:val="007C6CBB"/>
    <w:rsid w:val="007D780E"/>
    <w:rsid w:val="007D7C23"/>
    <w:rsid w:val="007E066B"/>
    <w:rsid w:val="007E110F"/>
    <w:rsid w:val="007F751A"/>
    <w:rsid w:val="0081090A"/>
    <w:rsid w:val="008117AF"/>
    <w:rsid w:val="00823C6B"/>
    <w:rsid w:val="00862923"/>
    <w:rsid w:val="008709E5"/>
    <w:rsid w:val="00870E7D"/>
    <w:rsid w:val="008A0305"/>
    <w:rsid w:val="008A755D"/>
    <w:rsid w:val="008C44AA"/>
    <w:rsid w:val="008D7031"/>
    <w:rsid w:val="008F0AA8"/>
    <w:rsid w:val="008F133E"/>
    <w:rsid w:val="008F48A8"/>
    <w:rsid w:val="0090026E"/>
    <w:rsid w:val="0091192F"/>
    <w:rsid w:val="00932832"/>
    <w:rsid w:val="0094166B"/>
    <w:rsid w:val="00944C90"/>
    <w:rsid w:val="00950533"/>
    <w:rsid w:val="00971FC2"/>
    <w:rsid w:val="0097393E"/>
    <w:rsid w:val="00985149"/>
    <w:rsid w:val="00990365"/>
    <w:rsid w:val="009974D5"/>
    <w:rsid w:val="009C1B2F"/>
    <w:rsid w:val="009D69A4"/>
    <w:rsid w:val="009E6DA4"/>
    <w:rsid w:val="00A11829"/>
    <w:rsid w:val="00A12FA9"/>
    <w:rsid w:val="00A15EEF"/>
    <w:rsid w:val="00A369EF"/>
    <w:rsid w:val="00A544E0"/>
    <w:rsid w:val="00A60001"/>
    <w:rsid w:val="00A630C9"/>
    <w:rsid w:val="00A71141"/>
    <w:rsid w:val="00A71AD6"/>
    <w:rsid w:val="00A73BB3"/>
    <w:rsid w:val="00A75608"/>
    <w:rsid w:val="00A77701"/>
    <w:rsid w:val="00AA34A7"/>
    <w:rsid w:val="00AB367B"/>
    <w:rsid w:val="00AB38BF"/>
    <w:rsid w:val="00AB6FA4"/>
    <w:rsid w:val="00AC0027"/>
    <w:rsid w:val="00AE1454"/>
    <w:rsid w:val="00AF6266"/>
    <w:rsid w:val="00B0432A"/>
    <w:rsid w:val="00B060EB"/>
    <w:rsid w:val="00B171FB"/>
    <w:rsid w:val="00B367B4"/>
    <w:rsid w:val="00B7364B"/>
    <w:rsid w:val="00BA2882"/>
    <w:rsid w:val="00BC6913"/>
    <w:rsid w:val="00BD2855"/>
    <w:rsid w:val="00BF4003"/>
    <w:rsid w:val="00BF57D5"/>
    <w:rsid w:val="00C2636E"/>
    <w:rsid w:val="00C367F0"/>
    <w:rsid w:val="00C41B8D"/>
    <w:rsid w:val="00C63B34"/>
    <w:rsid w:val="00C66BCD"/>
    <w:rsid w:val="00C67A7D"/>
    <w:rsid w:val="00C7415F"/>
    <w:rsid w:val="00C90F9E"/>
    <w:rsid w:val="00CA18C9"/>
    <w:rsid w:val="00CB1870"/>
    <w:rsid w:val="00CB6A73"/>
    <w:rsid w:val="00CD68B5"/>
    <w:rsid w:val="00CF2F3C"/>
    <w:rsid w:val="00D16626"/>
    <w:rsid w:val="00D451D2"/>
    <w:rsid w:val="00D76707"/>
    <w:rsid w:val="00D76DB5"/>
    <w:rsid w:val="00D84CA4"/>
    <w:rsid w:val="00D857E0"/>
    <w:rsid w:val="00D87718"/>
    <w:rsid w:val="00DA1691"/>
    <w:rsid w:val="00DB0FC4"/>
    <w:rsid w:val="00DD174A"/>
    <w:rsid w:val="00DF041C"/>
    <w:rsid w:val="00DF0F8B"/>
    <w:rsid w:val="00E1611C"/>
    <w:rsid w:val="00E2568A"/>
    <w:rsid w:val="00E36142"/>
    <w:rsid w:val="00E41514"/>
    <w:rsid w:val="00E573B2"/>
    <w:rsid w:val="00E578F6"/>
    <w:rsid w:val="00E85B78"/>
    <w:rsid w:val="00E93066"/>
    <w:rsid w:val="00EA5B85"/>
    <w:rsid w:val="00EC220C"/>
    <w:rsid w:val="00EC677E"/>
    <w:rsid w:val="00ED2A91"/>
    <w:rsid w:val="00EE6E09"/>
    <w:rsid w:val="00EF4727"/>
    <w:rsid w:val="00F23DF5"/>
    <w:rsid w:val="00F416C9"/>
    <w:rsid w:val="00F43E00"/>
    <w:rsid w:val="00F4571E"/>
    <w:rsid w:val="00F53B3C"/>
    <w:rsid w:val="00F54FA9"/>
    <w:rsid w:val="00F76E3C"/>
    <w:rsid w:val="00FE2118"/>
    <w:rsid w:val="00FE5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Straight Arrow Connector 2"/>
      </o:rules>
    </o:shapelayout>
  </w:shapeDefaults>
  <w:decimalSymbol w:val="."/>
  <w:listSeparator w:val=","/>
  <w14:docId w14:val="7563B803"/>
  <w15:docId w15:val="{9DF58580-5891-41CC-9FD7-20390542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AE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634681"/>
    <w:pPr>
      <w:spacing w:line="240" w:lineRule="auto"/>
    </w:pPr>
    <w:rPr>
      <w:sz w:val="20"/>
      <w:szCs w:val="20"/>
    </w:rPr>
  </w:style>
  <w:style w:type="character" w:customStyle="1" w:styleId="FootnoteTextChar">
    <w:name w:val="Footnote Text Char"/>
    <w:basedOn w:val="DefaultParagraphFont"/>
    <w:link w:val="FootnoteText"/>
    <w:uiPriority w:val="99"/>
    <w:semiHidden/>
    <w:rsid w:val="00634681"/>
    <w:rPr>
      <w:sz w:val="20"/>
      <w:szCs w:val="20"/>
    </w:rPr>
  </w:style>
  <w:style w:type="character" w:styleId="FootnoteReference">
    <w:name w:val="footnote reference"/>
    <w:basedOn w:val="DefaultParagraphFont"/>
    <w:uiPriority w:val="99"/>
    <w:semiHidden/>
    <w:unhideWhenUsed/>
    <w:rsid w:val="00634681"/>
    <w:rPr>
      <w:vertAlign w:val="superscript"/>
    </w:rPr>
  </w:style>
  <w:style w:type="character" w:styleId="Hyperlink">
    <w:name w:val="Hyperlink"/>
    <w:basedOn w:val="DefaultParagraphFont"/>
    <w:uiPriority w:val="99"/>
    <w:unhideWhenUsed/>
    <w:rsid w:val="00E36142"/>
    <w:rPr>
      <w:color w:val="0000FF" w:themeColor="hyperlink"/>
      <w:u w:val="single"/>
    </w:rPr>
  </w:style>
  <w:style w:type="character" w:styleId="UnresolvedMention">
    <w:name w:val="Unresolved Mention"/>
    <w:basedOn w:val="DefaultParagraphFont"/>
    <w:uiPriority w:val="99"/>
    <w:semiHidden/>
    <w:unhideWhenUsed/>
    <w:rsid w:val="00E36142"/>
    <w:rPr>
      <w:color w:val="605E5C"/>
      <w:shd w:val="clear" w:color="auto" w:fill="E1DFDD"/>
    </w:rPr>
  </w:style>
  <w:style w:type="paragraph" w:styleId="ListParagraph">
    <w:name w:val="List Paragraph"/>
    <w:basedOn w:val="Normal"/>
    <w:uiPriority w:val="34"/>
    <w:qFormat/>
    <w:rsid w:val="00150357"/>
    <w:pPr>
      <w:ind w:left="720"/>
      <w:contextualSpacing/>
    </w:pPr>
  </w:style>
  <w:style w:type="character" w:styleId="CommentReference">
    <w:name w:val="annotation reference"/>
    <w:basedOn w:val="DefaultParagraphFont"/>
    <w:uiPriority w:val="99"/>
    <w:semiHidden/>
    <w:unhideWhenUsed/>
    <w:rsid w:val="007D780E"/>
    <w:rPr>
      <w:sz w:val="16"/>
      <w:szCs w:val="16"/>
    </w:rPr>
  </w:style>
  <w:style w:type="paragraph" w:styleId="CommentText">
    <w:name w:val="annotation text"/>
    <w:basedOn w:val="Normal"/>
    <w:link w:val="CommentTextChar"/>
    <w:uiPriority w:val="99"/>
    <w:semiHidden/>
    <w:unhideWhenUsed/>
    <w:rsid w:val="007D780E"/>
    <w:pPr>
      <w:spacing w:line="240" w:lineRule="auto"/>
    </w:pPr>
    <w:rPr>
      <w:sz w:val="20"/>
      <w:szCs w:val="20"/>
    </w:rPr>
  </w:style>
  <w:style w:type="character" w:customStyle="1" w:styleId="CommentTextChar">
    <w:name w:val="Comment Text Char"/>
    <w:basedOn w:val="DefaultParagraphFont"/>
    <w:link w:val="CommentText"/>
    <w:uiPriority w:val="99"/>
    <w:semiHidden/>
    <w:rsid w:val="007D780E"/>
    <w:rPr>
      <w:sz w:val="20"/>
      <w:szCs w:val="20"/>
    </w:rPr>
  </w:style>
  <w:style w:type="paragraph" w:styleId="CommentSubject">
    <w:name w:val="annotation subject"/>
    <w:basedOn w:val="CommentText"/>
    <w:next w:val="CommentText"/>
    <w:link w:val="CommentSubjectChar"/>
    <w:uiPriority w:val="99"/>
    <w:semiHidden/>
    <w:unhideWhenUsed/>
    <w:rsid w:val="007D780E"/>
    <w:rPr>
      <w:b/>
      <w:bCs/>
    </w:rPr>
  </w:style>
  <w:style w:type="character" w:customStyle="1" w:styleId="CommentSubjectChar">
    <w:name w:val="Comment Subject Char"/>
    <w:basedOn w:val="CommentTextChar"/>
    <w:link w:val="CommentSubject"/>
    <w:uiPriority w:val="99"/>
    <w:semiHidden/>
    <w:rsid w:val="007D780E"/>
    <w:rPr>
      <w:b/>
      <w:bCs/>
      <w:sz w:val="20"/>
      <w:szCs w:val="20"/>
    </w:rPr>
  </w:style>
  <w:style w:type="paragraph" w:styleId="Revision">
    <w:name w:val="Revision"/>
    <w:hidden/>
    <w:uiPriority w:val="99"/>
    <w:semiHidden/>
    <w:rsid w:val="007D780E"/>
    <w:pPr>
      <w:spacing w:line="240" w:lineRule="auto"/>
    </w:pPr>
  </w:style>
  <w:style w:type="paragraph" w:styleId="ListBullet">
    <w:name w:val="List Bullet"/>
    <w:basedOn w:val="Normal"/>
    <w:uiPriority w:val="99"/>
    <w:unhideWhenUsed/>
    <w:rsid w:val="00153804"/>
    <w:pPr>
      <w:numPr>
        <w:numId w:val="9"/>
      </w:numPr>
      <w:contextualSpacing/>
    </w:pPr>
  </w:style>
  <w:style w:type="paragraph" w:styleId="Header">
    <w:name w:val="header"/>
    <w:basedOn w:val="Normal"/>
    <w:link w:val="HeaderChar"/>
    <w:uiPriority w:val="99"/>
    <w:unhideWhenUsed/>
    <w:rsid w:val="00AB6FA4"/>
    <w:pPr>
      <w:tabs>
        <w:tab w:val="center" w:pos="4680"/>
        <w:tab w:val="right" w:pos="9360"/>
      </w:tabs>
      <w:spacing w:line="240" w:lineRule="auto"/>
    </w:pPr>
  </w:style>
  <w:style w:type="character" w:customStyle="1" w:styleId="HeaderChar">
    <w:name w:val="Header Char"/>
    <w:basedOn w:val="DefaultParagraphFont"/>
    <w:link w:val="Header"/>
    <w:uiPriority w:val="99"/>
    <w:rsid w:val="00AB6FA4"/>
  </w:style>
  <w:style w:type="paragraph" w:styleId="Footer">
    <w:name w:val="footer"/>
    <w:basedOn w:val="Normal"/>
    <w:link w:val="FooterChar"/>
    <w:uiPriority w:val="99"/>
    <w:unhideWhenUsed/>
    <w:rsid w:val="00AB6FA4"/>
    <w:pPr>
      <w:tabs>
        <w:tab w:val="center" w:pos="4680"/>
        <w:tab w:val="right" w:pos="9360"/>
      </w:tabs>
      <w:spacing w:line="240" w:lineRule="auto"/>
    </w:pPr>
  </w:style>
  <w:style w:type="character" w:customStyle="1" w:styleId="FooterChar">
    <w:name w:val="Footer Char"/>
    <w:basedOn w:val="DefaultParagraphFont"/>
    <w:link w:val="Footer"/>
    <w:uiPriority w:val="99"/>
    <w:rsid w:val="00AB6FA4"/>
  </w:style>
  <w:style w:type="table" w:styleId="TableGrid">
    <w:name w:val="Table Grid"/>
    <w:basedOn w:val="TableNormal"/>
    <w:uiPriority w:val="39"/>
    <w:rsid w:val="00944C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E53E4"/>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B367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census.gov/quickfacts/phoenixcityarizona" TargetMode="External"/><Relationship Id="rId3" Type="http://schemas.openxmlformats.org/officeDocument/2006/relationships/hyperlink" Target="https://www.maldef.org/wp-content/uploads/2021/05/FINAL-LDF_04142021_RedistrictingGuide-22e.pdf" TargetMode="External"/><Relationship Id="rId7" Type="http://schemas.openxmlformats.org/officeDocument/2006/relationships/hyperlink" Target="https://www.maldef.org/wp-content/uploads/2021/05/FINAL-LDF_04142021_RedistrictingGuide-22e.pdf" TargetMode="External"/><Relationship Id="rId2" Type="http://schemas.openxmlformats.org/officeDocument/2006/relationships/hyperlink" Target="https://www.maldef.org/wp-content/uploads/2021/05/FINAL-LDF_04142021_RedistrictingGuide-22e.pdf" TargetMode="External"/><Relationship Id="rId1" Type="http://schemas.openxmlformats.org/officeDocument/2006/relationships/hyperlink" Target="https://redistricting.lls.edu/state/arizona/?cycle=2010&amp;level=Congress&amp;startdate=2012-04-09" TargetMode="External"/><Relationship Id="rId6" Type="http://schemas.openxmlformats.org/officeDocument/2006/relationships/hyperlink" Target="http://redistricting.lls.edu/" TargetMode="External"/><Relationship Id="rId5" Type="http://schemas.openxmlformats.org/officeDocument/2006/relationships/hyperlink" Target="https://azsos.gov/sites/default/files/2020_General_State_Canvass.pdf" TargetMode="External"/><Relationship Id="rId4" Type="http://schemas.openxmlformats.org/officeDocument/2006/relationships/hyperlink" Target="https://davesredistricting.org/maps" TargetMode="External"/><Relationship Id="rId9" Type="http://schemas.openxmlformats.org/officeDocument/2006/relationships/hyperlink" Target="https://www.maldef.org/wp-content/uploads/2021/05/FINAL-LDF_04142021_RedistrictingGuide-22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15163</TotalTime>
  <Pages>22</Pages>
  <Words>3172</Words>
  <Characters>18083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Wright</dc:creator>
  <cp:keywords/>
  <dc:description/>
  <cp:lastModifiedBy>Amir Wright</cp:lastModifiedBy>
  <cp:revision>4</cp:revision>
  <dcterms:created xsi:type="dcterms:W3CDTF">2021-11-17T09:53:00Z</dcterms:created>
  <dcterms:modified xsi:type="dcterms:W3CDTF">2022-01-15T23:24:00Z</dcterms:modified>
</cp:coreProperties>
</file>